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河南明泰科技发展有限公司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清洁生产审核主要污染物排放情况信息公示</w:t>
      </w:r>
    </w:p>
    <w:p>
      <w:pPr>
        <w:pStyle w:val="15"/>
        <w:spacing w:line="440" w:lineRule="exact"/>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公示类型</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使用有毒有害原料进行生产或者在生产中排放有毒有害物质</w:t>
      </w:r>
    </w:p>
    <w:p>
      <w:pPr>
        <w:pStyle w:val="15"/>
        <w:spacing w:line="440" w:lineRule="exact"/>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公示内容</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企业名称、法人代表、企业所在地址、使用有毒有害原料的名称、数量、用途，排放有毒有害物质的名称、浓度和数量，危险废物的产生和处置情况，依法落实环境风险防控措施情况等。</w:t>
      </w:r>
    </w:p>
    <w:p>
      <w:pPr>
        <w:pStyle w:val="15"/>
        <w:spacing w:line="440" w:lineRule="exact"/>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sz w:val="24"/>
        </w:rPr>
        <w:t>根据</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中华人名共和国清洁生产促进法</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清洁生产审核办法</w:t>
      </w:r>
      <w:r>
        <w:rPr>
          <w:rFonts w:hint="default" w:ascii="Times New Roman" w:hAnsi="Times New Roman" w:cs="Times New Roman"/>
          <w:sz w:val="24"/>
          <w:lang w:eastAsia="zh-CN"/>
        </w:rPr>
        <w:t>》、《关于印发</w:t>
      </w:r>
      <w:r>
        <w:rPr>
          <w:rFonts w:hint="default" w:ascii="Times New Roman" w:hAnsi="Times New Roman" w:cs="Times New Roman"/>
          <w:sz w:val="24"/>
          <w:lang w:val="en-US" w:eastAsia="zh-CN"/>
        </w:rPr>
        <w:t>&lt;</w:t>
      </w:r>
      <w:r>
        <w:rPr>
          <w:rFonts w:hint="default" w:ascii="Times New Roman" w:hAnsi="Times New Roman" w:cs="Times New Roman"/>
          <w:sz w:val="24"/>
          <w:lang w:eastAsia="zh-CN"/>
        </w:rPr>
        <w:t>清洁生产审核评估与验收指南</w:t>
      </w:r>
      <w:r>
        <w:rPr>
          <w:rFonts w:hint="default" w:ascii="Times New Roman" w:hAnsi="Times New Roman" w:cs="Times New Roman"/>
          <w:sz w:val="24"/>
          <w:lang w:val="en-US" w:eastAsia="zh-CN"/>
        </w:rPr>
        <w:t>&gt;</w:t>
      </w:r>
      <w:r>
        <w:rPr>
          <w:rFonts w:hint="default" w:ascii="Times New Roman" w:hAnsi="Times New Roman" w:cs="Times New Roman"/>
          <w:sz w:val="24"/>
          <w:lang w:eastAsia="zh-CN"/>
        </w:rPr>
        <w:t>的通知》（</w:t>
      </w:r>
      <w:r>
        <w:rPr>
          <w:rFonts w:hint="default" w:ascii="Times New Roman" w:hAnsi="Times New Roman" w:cs="Times New Roman"/>
          <w:sz w:val="24"/>
          <w:lang w:val="en-US" w:eastAsia="zh-CN"/>
        </w:rPr>
        <w:t>环办科技【2018】5号</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及《关于印发&lt;河南省清洁生产审核实施细则&gt;的通知》（豫发改环资【2018】161号）</w:t>
      </w:r>
      <w:r>
        <w:rPr>
          <w:rFonts w:hint="eastAsia" w:ascii="Times New Roman" w:hAnsi="Times New Roman" w:cs="Times New Roman"/>
          <w:sz w:val="24"/>
          <w:lang w:val="en-US" w:eastAsia="zh-CN"/>
        </w:rPr>
        <w:t>、</w:t>
      </w:r>
      <w:r>
        <w:rPr>
          <w:rFonts w:hint="default" w:ascii="Times New Roman" w:hAnsi="Times New Roman" w:cs="Times New Roman"/>
          <w:color w:val="auto"/>
          <w:sz w:val="24"/>
          <w:szCs w:val="24"/>
          <w:lang w:val="en-US" w:eastAsia="zh-CN"/>
        </w:rPr>
        <w:t>《河南省生态环境厅办公室关于公布2024年度河南省实施清洁生产审核企业名单的通知》(豫环办(2024)14号)</w:t>
      </w:r>
      <w:r>
        <w:rPr>
          <w:rFonts w:hint="default" w:ascii="Times New Roman" w:hAnsi="Times New Roman" w:cs="Times New Roman"/>
          <w:sz w:val="24"/>
        </w:rPr>
        <w:t>等文件要求</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在开展清洁生产审核工作期间，应对企业主要污染物排放情况等信息进行公开</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该公司公开信息如下所示。</w:t>
      </w:r>
    </w:p>
    <w:p>
      <w:pPr>
        <w:widowControl w:val="0"/>
        <w:numPr>
          <w:ilvl w:val="0"/>
          <w:numId w:val="2"/>
        </w:numPr>
        <w:spacing w:line="440" w:lineRule="exact"/>
        <w:ind w:firstLine="562" w:firstLineChars="200"/>
        <w:jc w:val="both"/>
        <w:outlineLvl w:val="0"/>
        <w:rPr>
          <w:rFonts w:hint="default" w:ascii="Times New Roman" w:hAnsi="Times New Roman" w:eastAsia="宋体" w:cs="Times New Roman"/>
          <w:b/>
          <w:color w:val="auto"/>
          <w:kern w:val="0"/>
          <w:sz w:val="28"/>
          <w:szCs w:val="28"/>
          <w:lang w:val="en-US" w:eastAsia="zh-CN" w:bidi="ar-SA"/>
        </w:rPr>
      </w:pPr>
      <w:r>
        <w:rPr>
          <w:rFonts w:hint="default" w:ascii="Times New Roman" w:hAnsi="Times New Roman" w:eastAsia="宋体" w:cs="Times New Roman"/>
          <w:b/>
          <w:color w:val="auto"/>
          <w:kern w:val="0"/>
          <w:sz w:val="28"/>
          <w:szCs w:val="28"/>
          <w:lang w:val="en-US" w:eastAsia="zh-CN" w:bidi="ar-SA"/>
        </w:rPr>
        <w:t>企业基本信息介绍</w:t>
      </w:r>
    </w:p>
    <w:p>
      <w:pPr>
        <w:pStyle w:val="15"/>
        <w:spacing w:line="360" w:lineRule="auto"/>
        <w:ind w:firstLine="480"/>
        <w:jc w:val="center"/>
        <w:rPr>
          <w:rFonts w:hint="default" w:ascii="Times New Roman" w:hAnsi="Times New Roman" w:eastAsia="黑体" w:cs="Times New Roman"/>
          <w:color w:val="auto"/>
          <w:sz w:val="24"/>
          <w:szCs w:val="24"/>
          <w:u w:val="none"/>
        </w:rPr>
      </w:pPr>
      <w:r>
        <w:rPr>
          <w:rFonts w:hint="eastAsia" w:ascii="Times New Roman" w:hAnsi="Times New Roman" w:eastAsia="黑体" w:cs="Times New Roman"/>
          <w:color w:val="auto"/>
          <w:sz w:val="24"/>
          <w:szCs w:val="24"/>
          <w:u w:val="none"/>
          <w:lang w:val="en-US" w:eastAsia="zh-CN"/>
        </w:rPr>
        <w:t>表1</w:t>
      </w:r>
      <w:r>
        <w:rPr>
          <w:rFonts w:hint="default" w:ascii="Times New Roman" w:hAnsi="Times New Roman" w:eastAsia="黑体" w:cs="Times New Roman"/>
          <w:color w:val="auto"/>
          <w:sz w:val="24"/>
          <w:szCs w:val="24"/>
          <w:u w:val="none"/>
        </w:rPr>
        <w:t>企业基本情况一览表</w:t>
      </w:r>
    </w:p>
    <w:tbl>
      <w:tblPr>
        <w:tblStyle w:val="12"/>
        <w:tblW w:w="92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3150"/>
        <w:gridCol w:w="1068"/>
        <w:gridCol w:w="3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企业名称</w:t>
            </w:r>
          </w:p>
        </w:tc>
        <w:tc>
          <w:tcPr>
            <w:tcW w:w="3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河南明泰科技发展有限公司</w:t>
            </w:r>
          </w:p>
        </w:tc>
        <w:tc>
          <w:tcPr>
            <w:tcW w:w="10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cs="Times New Roman"/>
                <w:b/>
                <w:bCs/>
                <w:kern w:val="0"/>
                <w:sz w:val="21"/>
                <w:szCs w:val="21"/>
                <w:lang w:val="en-US" w:eastAsia="zh-CN"/>
              </w:rPr>
              <w:t>企业性质</w:t>
            </w:r>
          </w:p>
        </w:tc>
        <w:tc>
          <w:tcPr>
            <w:tcW w:w="3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法人代表</w:t>
            </w:r>
          </w:p>
        </w:tc>
        <w:tc>
          <w:tcPr>
            <w:tcW w:w="3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rPr>
            </w:pPr>
            <w:r>
              <w:rPr>
                <w:rFonts w:hint="eastAsia" w:cs="Times New Roman"/>
                <w:kern w:val="0"/>
                <w:sz w:val="21"/>
                <w:szCs w:val="21"/>
                <w:lang w:val="en-US" w:eastAsia="zh-CN"/>
              </w:rPr>
              <w:t>杨正高</w:t>
            </w:r>
          </w:p>
        </w:tc>
        <w:tc>
          <w:tcPr>
            <w:tcW w:w="10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注册</w:t>
            </w:r>
            <w:r>
              <w:rPr>
                <w:rFonts w:hint="default" w:ascii="Times New Roman" w:hAnsi="Times New Roman" w:cs="Times New Roman"/>
                <w:b/>
                <w:bCs/>
                <w:kern w:val="0"/>
                <w:sz w:val="21"/>
                <w:szCs w:val="21"/>
                <w:lang w:val="en-US" w:eastAsia="zh-CN"/>
              </w:rPr>
              <w:t>资金</w:t>
            </w:r>
          </w:p>
        </w:tc>
        <w:tc>
          <w:tcPr>
            <w:tcW w:w="3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5000万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地址</w:t>
            </w:r>
          </w:p>
        </w:tc>
        <w:tc>
          <w:tcPr>
            <w:tcW w:w="3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巩义市产业集聚区</w:t>
            </w:r>
          </w:p>
        </w:tc>
        <w:tc>
          <w:tcPr>
            <w:tcW w:w="10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地理坐标</w:t>
            </w:r>
          </w:p>
        </w:tc>
        <w:tc>
          <w:tcPr>
            <w:tcW w:w="3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经度：112°49′40.47″</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纬度：34°41′3.25″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统一信用代码</w:t>
            </w:r>
          </w:p>
        </w:tc>
        <w:tc>
          <w:tcPr>
            <w:tcW w:w="3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9141</w:t>
            </w:r>
            <w:r>
              <w:rPr>
                <w:rFonts w:hint="eastAsia" w:ascii="Times New Roman" w:hAnsi="Times New Roman" w:eastAsia="宋体" w:cs="Times New Roman"/>
                <w:kern w:val="0"/>
                <w:sz w:val="21"/>
                <w:szCs w:val="21"/>
                <w:lang w:val="en-US" w:eastAsia="zh-CN"/>
              </w:rPr>
              <w:t>0</w:t>
            </w:r>
            <w:r>
              <w:rPr>
                <w:rFonts w:hint="eastAsia" w:cs="Times New Roman"/>
                <w:kern w:val="0"/>
                <w:sz w:val="21"/>
                <w:szCs w:val="21"/>
                <w:lang w:val="en-US" w:eastAsia="zh-CN"/>
              </w:rPr>
              <w:t>181MA3XJ7GH6F</w:t>
            </w:r>
          </w:p>
        </w:tc>
        <w:tc>
          <w:tcPr>
            <w:tcW w:w="10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所属行业</w:t>
            </w:r>
          </w:p>
        </w:tc>
        <w:tc>
          <w:tcPr>
            <w:tcW w:w="3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C</w:t>
            </w:r>
            <w:r>
              <w:rPr>
                <w:rFonts w:hint="default" w:ascii="Times New Roman" w:hAnsi="Times New Roman" w:eastAsia="宋体" w:cs="Times New Roman"/>
                <w:kern w:val="0"/>
                <w:sz w:val="21"/>
                <w:szCs w:val="21"/>
                <w:lang w:val="en-US" w:eastAsia="zh-CN"/>
              </w:rPr>
              <w:t>3252</w:t>
            </w:r>
            <w:r>
              <w:rPr>
                <w:rFonts w:hint="eastAsia" w:cs="Times New Roman"/>
                <w:kern w:val="0"/>
                <w:sz w:val="21"/>
                <w:szCs w:val="21"/>
                <w:lang w:val="en-US" w:eastAsia="zh-CN"/>
              </w:rPr>
              <w:t>铝压延加工，C3216铝冶炼，N7724危险废物治理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default" w:ascii="Times New Roman" w:hAnsi="Times New Roman" w:cs="Times New Roman"/>
                <w:b/>
                <w:bCs/>
                <w:kern w:val="0"/>
                <w:sz w:val="21"/>
                <w:szCs w:val="21"/>
                <w:lang w:val="en-US" w:eastAsia="zh-CN"/>
              </w:rPr>
              <w:t>产品及产能</w:t>
            </w:r>
          </w:p>
        </w:tc>
        <w:tc>
          <w:tcPr>
            <w:tcW w:w="3150" w:type="dxa"/>
            <w:tcBorders>
              <w:tl2br w:val="nil"/>
              <w:tr2bl w:val="nil"/>
            </w:tcBorders>
            <w:noWrap w:val="0"/>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高精度铝箔总产能17.2万t/a，</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olor w:val="000000" w:themeColor="text1"/>
                <w:sz w:val="21"/>
                <w:szCs w:val="21"/>
                <w:highlight w:val="none"/>
                <w14:textFill>
                  <w14:solidFill>
                    <w14:schemeClr w14:val="tx1"/>
                  </w14:solidFill>
                </w14:textFill>
              </w:rPr>
              <w:t>废铝总处理能力可达67.5万t/a，铝灰处置能力可达12万t/a</w:t>
            </w:r>
          </w:p>
        </w:tc>
        <w:tc>
          <w:tcPr>
            <w:tcW w:w="10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生产总产值</w:t>
            </w:r>
          </w:p>
        </w:tc>
        <w:tc>
          <w:tcPr>
            <w:tcW w:w="3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1292906.75</w:t>
            </w:r>
            <w:r>
              <w:rPr>
                <w:rFonts w:hint="eastAsia" w:cs="Times New Roman"/>
                <w:kern w:val="0"/>
                <w:sz w:val="21"/>
                <w:szCs w:val="21"/>
                <w:lang w:val="en-US" w:eastAsia="zh-CN"/>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rPr>
            </w:pPr>
            <w:r>
              <w:rPr>
                <w:rFonts w:hint="default" w:ascii="Times New Roman" w:hAnsi="Times New Roman" w:cs="Times New Roman"/>
                <w:b/>
                <w:bCs/>
                <w:kern w:val="0"/>
                <w:sz w:val="21"/>
                <w:szCs w:val="21"/>
                <w:lang w:val="en-US" w:eastAsia="zh-CN"/>
              </w:rPr>
              <w:t>员工</w:t>
            </w:r>
            <w:r>
              <w:rPr>
                <w:rFonts w:hint="default" w:ascii="Times New Roman" w:hAnsi="Times New Roman" w:eastAsia="宋体" w:cs="Times New Roman"/>
                <w:b/>
                <w:bCs/>
                <w:kern w:val="0"/>
                <w:sz w:val="21"/>
                <w:szCs w:val="21"/>
              </w:rPr>
              <w:t>人数</w:t>
            </w:r>
          </w:p>
        </w:tc>
        <w:tc>
          <w:tcPr>
            <w:tcW w:w="3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450</w:t>
            </w:r>
            <w:r>
              <w:rPr>
                <w:rFonts w:hint="eastAsia" w:ascii="Times New Roman" w:hAnsi="Times New Roman" w:eastAsia="宋体" w:cs="Times New Roman"/>
                <w:kern w:val="0"/>
                <w:sz w:val="21"/>
                <w:szCs w:val="21"/>
                <w:lang w:val="en-US" w:eastAsia="zh-CN"/>
              </w:rPr>
              <w:t>余人</w:t>
            </w:r>
          </w:p>
        </w:tc>
        <w:tc>
          <w:tcPr>
            <w:tcW w:w="10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6"/>
                <w:sz w:val="21"/>
                <w:szCs w:val="21"/>
                <w:lang w:val="en-US" w:eastAsia="zh-CN"/>
              </w:rPr>
            </w:pPr>
            <w:r>
              <w:rPr>
                <w:rFonts w:hint="default" w:ascii="Times New Roman" w:hAnsi="Times New Roman" w:cs="Times New Roman"/>
                <w:b/>
                <w:bCs/>
                <w:spacing w:val="-6"/>
                <w:sz w:val="21"/>
                <w:szCs w:val="21"/>
                <w:lang w:val="en-US" w:eastAsia="zh-CN"/>
              </w:rPr>
              <w:t>生产班制</w:t>
            </w:r>
          </w:p>
        </w:tc>
        <w:tc>
          <w:tcPr>
            <w:tcW w:w="3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四班三运转工作制，每班工作8h，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eastAsia" w:ascii="Times New Roman" w:hAnsi="Times New Roman" w:cs="Times New Roman"/>
                <w:b/>
                <w:bCs/>
                <w:kern w:val="0"/>
                <w:sz w:val="21"/>
                <w:szCs w:val="21"/>
                <w:lang w:val="en-US" w:eastAsia="zh-CN"/>
              </w:rPr>
              <w:t>生产区面积</w:t>
            </w:r>
          </w:p>
        </w:tc>
        <w:tc>
          <w:tcPr>
            <w:tcW w:w="3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6"/>
                <w:sz w:val="21"/>
                <w:szCs w:val="21"/>
                <w:lang w:eastAsia="zh-CN"/>
              </w:rPr>
            </w:pPr>
            <w:r>
              <w:rPr>
                <w:rFonts w:hint="default" w:ascii="Times New Roman" w:hAnsi="Times New Roman" w:eastAsia="宋体" w:cs="Times New Roman"/>
                <w:spacing w:val="-6"/>
                <w:sz w:val="21"/>
                <w:szCs w:val="21"/>
                <w:lang w:eastAsia="zh-CN"/>
              </w:rPr>
              <w:t>333350m</w:t>
            </w:r>
            <w:r>
              <w:rPr>
                <w:rFonts w:hint="default" w:ascii="Times New Roman" w:hAnsi="Times New Roman" w:eastAsia="宋体" w:cs="Times New Roman"/>
                <w:spacing w:val="-6"/>
                <w:sz w:val="21"/>
                <w:szCs w:val="21"/>
                <w:vertAlign w:val="superscript"/>
                <w:lang w:eastAsia="zh-CN"/>
              </w:rPr>
              <w:t>2</w:t>
            </w:r>
          </w:p>
        </w:tc>
        <w:tc>
          <w:tcPr>
            <w:tcW w:w="10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pacing w:val="-6"/>
                <w:sz w:val="21"/>
                <w:szCs w:val="21"/>
                <w:lang w:eastAsia="zh-CN"/>
              </w:rPr>
            </w:pPr>
            <w:r>
              <w:rPr>
                <w:rFonts w:hint="eastAsia" w:ascii="Times New Roman" w:hAnsi="Times New Roman" w:eastAsia="宋体" w:cs="Times New Roman"/>
                <w:b/>
                <w:bCs/>
                <w:kern w:val="0"/>
                <w:sz w:val="21"/>
                <w:szCs w:val="21"/>
                <w:lang w:val="en-US" w:eastAsia="zh-CN"/>
              </w:rPr>
              <w:t>成立</w:t>
            </w:r>
            <w:r>
              <w:rPr>
                <w:rFonts w:hint="default" w:ascii="Times New Roman" w:hAnsi="Times New Roman" w:eastAsia="宋体" w:cs="Times New Roman"/>
                <w:b/>
                <w:bCs/>
                <w:kern w:val="0"/>
                <w:sz w:val="21"/>
                <w:szCs w:val="21"/>
              </w:rPr>
              <w:t>时间</w:t>
            </w:r>
          </w:p>
        </w:tc>
        <w:tc>
          <w:tcPr>
            <w:tcW w:w="37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201</w:t>
            </w:r>
            <w:r>
              <w:rPr>
                <w:rFonts w:hint="eastAsia" w:cs="Times New Roman"/>
                <w:kern w:val="0"/>
                <w:sz w:val="21"/>
                <w:szCs w:val="21"/>
                <w:lang w:val="en-US" w:eastAsia="zh-CN"/>
              </w:rPr>
              <w:t>6</w:t>
            </w:r>
            <w:r>
              <w:rPr>
                <w:rFonts w:hint="eastAsia" w:ascii="Times New Roman" w:hAnsi="Times New Roman" w:eastAsia="宋体" w:cs="Times New Roman"/>
                <w:kern w:val="0"/>
                <w:sz w:val="21"/>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环评批复</w:t>
            </w:r>
          </w:p>
        </w:tc>
        <w:tc>
          <w:tcPr>
            <w:tcW w:w="3150"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年产</w:t>
            </w:r>
            <w:r>
              <w:rPr>
                <w:color w:val="000000" w:themeColor="text1"/>
                <w:sz w:val="21"/>
                <w:szCs w:val="21"/>
                <w:highlight w:val="none"/>
                <w14:textFill>
                  <w14:solidFill>
                    <w14:schemeClr w14:val="tx1"/>
                  </w14:solidFill>
                </w14:textFill>
              </w:rPr>
              <w:t>10</w:t>
            </w:r>
            <w:r>
              <w:rPr>
                <w:rFonts w:hint="eastAsia"/>
                <w:color w:val="000000" w:themeColor="text1"/>
                <w:sz w:val="21"/>
                <w:szCs w:val="21"/>
                <w:highlight w:val="none"/>
                <w14:textFill>
                  <w14:solidFill>
                    <w14:schemeClr w14:val="tx1"/>
                  </w14:solidFill>
                </w14:textFill>
              </w:rPr>
              <w:t>万吨高精度铝箔项目</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2017</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9</w:t>
            </w:r>
            <w:r>
              <w:rPr>
                <w:rFonts w:hint="eastAsia"/>
                <w:color w:val="000000" w:themeColor="text1"/>
                <w:sz w:val="21"/>
                <w:szCs w:val="21"/>
                <w:highlight w:val="none"/>
                <w14:textFill>
                  <w14:solidFill>
                    <w14:schemeClr w14:val="tx1"/>
                  </w14:solidFill>
                </w14:textFill>
              </w:rPr>
              <w:t>日以巩环建表</w:t>
            </w:r>
            <w:r>
              <w:rPr>
                <w:color w:val="000000" w:themeColor="text1"/>
                <w:sz w:val="21"/>
                <w:szCs w:val="21"/>
                <w:highlight w:val="none"/>
                <w14:textFill>
                  <w14:solidFill>
                    <w14:schemeClr w14:val="tx1"/>
                  </w14:solidFill>
                </w14:textFill>
              </w:rPr>
              <w:t>[2017]1</w:t>
            </w:r>
            <w:r>
              <w:rPr>
                <w:rFonts w:hint="eastAsia"/>
                <w:color w:val="000000" w:themeColor="text1"/>
                <w:sz w:val="21"/>
                <w:szCs w:val="21"/>
                <w:highlight w:val="none"/>
                <w14:textFill>
                  <w14:solidFill>
                    <w14:schemeClr w14:val="tx1"/>
                  </w14:solidFill>
                </w14:textFill>
              </w:rPr>
              <w:t>号文通过巩义市环境保护局审批</w:t>
            </w:r>
          </w:p>
        </w:tc>
        <w:tc>
          <w:tcPr>
            <w:tcW w:w="106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lang w:val="en-US" w:eastAsia="zh-CN"/>
              </w:rPr>
              <w:t>竣工环保验收</w:t>
            </w:r>
          </w:p>
        </w:tc>
        <w:tc>
          <w:tcPr>
            <w:tcW w:w="3774"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color w:val="000000" w:themeColor="text1"/>
                <w:sz w:val="21"/>
                <w:szCs w:val="21"/>
                <w:highlight w:val="none"/>
                <w14:textFill>
                  <w14:solidFill>
                    <w14:schemeClr w14:val="tx1"/>
                  </w14:solidFill>
                </w14:textFill>
              </w:rPr>
              <w:t>2018</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6</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15</w:t>
            </w:r>
            <w:r>
              <w:rPr>
                <w:rFonts w:hint="eastAsia"/>
                <w:color w:val="000000" w:themeColor="text1"/>
                <w:sz w:val="21"/>
                <w:szCs w:val="21"/>
                <w:highlight w:val="none"/>
                <w14:textFill>
                  <w14:solidFill>
                    <w14:schemeClr w14:val="tx1"/>
                  </w14:solidFill>
                </w14:textFill>
              </w:rPr>
              <w:t>日完成了该项目的竣工环境保护验收并于信息系统公示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25"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rPr>
            </w:pPr>
          </w:p>
        </w:tc>
        <w:tc>
          <w:tcPr>
            <w:tcW w:w="3150"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《年处理20万吨废铝项目（一期工程）》</w:t>
            </w:r>
            <w:r>
              <w:rPr>
                <w:color w:val="000000" w:themeColor="text1"/>
                <w:sz w:val="21"/>
                <w:szCs w:val="21"/>
                <w:highlight w:val="none"/>
                <w14:textFill>
                  <w14:solidFill>
                    <w14:schemeClr w14:val="tx1"/>
                  </w14:solidFill>
                </w14:textFill>
              </w:rPr>
              <w:t>2018</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22</w:t>
            </w:r>
            <w:r>
              <w:rPr>
                <w:rFonts w:hint="eastAsia"/>
                <w:color w:val="000000" w:themeColor="text1"/>
                <w:sz w:val="21"/>
                <w:szCs w:val="21"/>
                <w:highlight w:val="none"/>
                <w14:textFill>
                  <w14:solidFill>
                    <w14:schemeClr w14:val="tx1"/>
                  </w14:solidFill>
                </w14:textFill>
              </w:rPr>
              <w:t>日以巩环审</w:t>
            </w:r>
            <w:r>
              <w:rPr>
                <w:color w:val="000000" w:themeColor="text1"/>
                <w:sz w:val="21"/>
                <w:szCs w:val="21"/>
                <w:highlight w:val="none"/>
                <w14:textFill>
                  <w14:solidFill>
                    <w14:schemeClr w14:val="tx1"/>
                  </w14:solidFill>
                </w14:textFill>
              </w:rPr>
              <w:t>[2018]5</w:t>
            </w:r>
            <w:r>
              <w:rPr>
                <w:rFonts w:hint="eastAsia"/>
                <w:color w:val="000000" w:themeColor="text1"/>
                <w:sz w:val="21"/>
                <w:szCs w:val="21"/>
                <w:highlight w:val="none"/>
                <w14:textFill>
                  <w14:solidFill>
                    <w14:schemeClr w14:val="tx1"/>
                  </w14:solidFill>
                </w14:textFill>
              </w:rPr>
              <w:t>号文通过巩义市环境保护局审批</w:t>
            </w:r>
          </w:p>
        </w:tc>
        <w:tc>
          <w:tcPr>
            <w:tcW w:w="1068"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3774"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r>
              <w:rPr>
                <w:color w:val="000000" w:themeColor="text1"/>
                <w:sz w:val="21"/>
                <w:szCs w:val="21"/>
                <w:highlight w:val="none"/>
                <w14:textFill>
                  <w14:solidFill>
                    <w14:schemeClr w14:val="tx1"/>
                  </w14:solidFill>
                </w14:textFill>
              </w:rPr>
              <w:t>2019</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11</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13</w:t>
            </w:r>
            <w:r>
              <w:rPr>
                <w:rFonts w:hint="eastAsia"/>
                <w:color w:val="000000" w:themeColor="text1"/>
                <w:sz w:val="21"/>
                <w:szCs w:val="21"/>
                <w:highlight w:val="none"/>
                <w14:textFill>
                  <w14:solidFill>
                    <w14:schemeClr w14:val="tx1"/>
                  </w14:solidFill>
                </w14:textFill>
              </w:rPr>
              <w:t>日完成了该项目的竣工环境保护验收并于信息系统公示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25"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rPr>
            </w:pPr>
          </w:p>
        </w:tc>
        <w:tc>
          <w:tcPr>
            <w:tcW w:w="3150"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kern w:val="2"/>
                <w:sz w:val="21"/>
                <w:szCs w:val="21"/>
                <w:lang w:val="en-US" w:eastAsia="zh-CN" w:bidi="ar-SA"/>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河南明泰科技发展有限公司废铝综合利用项目</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2019</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7</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日以巩环建审</w:t>
            </w:r>
            <w:r>
              <w:rPr>
                <w:color w:val="000000" w:themeColor="text1"/>
                <w:sz w:val="21"/>
                <w:szCs w:val="21"/>
                <w:highlight w:val="none"/>
                <w14:textFill>
                  <w14:solidFill>
                    <w14:schemeClr w14:val="tx1"/>
                  </w14:solidFill>
                </w14:textFill>
              </w:rPr>
              <w:t>[2019]75</w:t>
            </w:r>
            <w:r>
              <w:rPr>
                <w:rFonts w:hint="eastAsia"/>
                <w:color w:val="000000" w:themeColor="text1"/>
                <w:sz w:val="21"/>
                <w:szCs w:val="21"/>
                <w:highlight w:val="none"/>
                <w14:textFill>
                  <w14:solidFill>
                    <w14:schemeClr w14:val="tx1"/>
                  </w14:solidFill>
                </w14:textFill>
              </w:rPr>
              <w:t>号文通过巩义市环境保护局审批</w:t>
            </w:r>
          </w:p>
        </w:tc>
        <w:tc>
          <w:tcPr>
            <w:tcW w:w="1068"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3774"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完成自主验收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25"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rPr>
            </w:pPr>
          </w:p>
        </w:tc>
        <w:tc>
          <w:tcPr>
            <w:tcW w:w="3150"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河南明泰科技发展有限公司高精度铝箔项目</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2019</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7</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日以巩环建审</w:t>
            </w:r>
            <w:r>
              <w:rPr>
                <w:color w:val="000000" w:themeColor="text1"/>
                <w:sz w:val="21"/>
                <w:szCs w:val="21"/>
                <w:highlight w:val="none"/>
                <w14:textFill>
                  <w14:solidFill>
                    <w14:schemeClr w14:val="tx1"/>
                  </w14:solidFill>
                </w14:textFill>
              </w:rPr>
              <w:t>[2019]75</w:t>
            </w:r>
            <w:r>
              <w:rPr>
                <w:rFonts w:hint="eastAsia"/>
                <w:color w:val="000000" w:themeColor="text1"/>
                <w:sz w:val="21"/>
                <w:szCs w:val="21"/>
                <w:highlight w:val="none"/>
                <w14:textFill>
                  <w14:solidFill>
                    <w14:schemeClr w14:val="tx1"/>
                  </w14:solidFill>
                </w14:textFill>
              </w:rPr>
              <w:t>号文通过巩义市环境保护局审批</w:t>
            </w:r>
          </w:p>
        </w:tc>
        <w:tc>
          <w:tcPr>
            <w:tcW w:w="1068"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3774"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2020</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日完成了该项目的竣工环境保护验收并于信息系统公示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25"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rPr>
            </w:pPr>
          </w:p>
        </w:tc>
        <w:tc>
          <w:tcPr>
            <w:tcW w:w="3150"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河南明泰科技发展有限公司铝灰渣综合利用项目</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2020</w:t>
            </w:r>
            <w:r>
              <w:rPr>
                <w:rFonts w:hint="eastAsia"/>
                <w:color w:val="000000" w:themeColor="text1"/>
                <w:sz w:val="21"/>
                <w:szCs w:val="21"/>
                <w:highlight w:val="none"/>
                <w14:textFill>
                  <w14:solidFill>
                    <w14:schemeClr w14:val="tx1"/>
                  </w14:solidFill>
                </w14:textFill>
              </w:rPr>
              <w:t>年</w:t>
            </w:r>
            <w:r>
              <w:rPr>
                <w:color w:val="000000" w:themeColor="text1"/>
                <w:sz w:val="21"/>
                <w:szCs w:val="21"/>
                <w:highlight w:val="none"/>
                <w14:textFill>
                  <w14:solidFill>
                    <w14:schemeClr w14:val="tx1"/>
                  </w14:solidFill>
                </w14:textFill>
              </w:rPr>
              <w:t>4</w:t>
            </w:r>
            <w:r>
              <w:rPr>
                <w:rFonts w:hint="eastAsia"/>
                <w:color w:val="000000" w:themeColor="text1"/>
                <w:sz w:val="21"/>
                <w:szCs w:val="21"/>
                <w:highlight w:val="none"/>
                <w14:textFill>
                  <w14:solidFill>
                    <w14:schemeClr w14:val="tx1"/>
                  </w14:solidFill>
                </w14:textFill>
              </w:rPr>
              <w:t>月</w:t>
            </w: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日以巩环建审</w:t>
            </w:r>
            <w:r>
              <w:rPr>
                <w:color w:val="000000" w:themeColor="text1"/>
                <w:sz w:val="21"/>
                <w:szCs w:val="21"/>
                <w:highlight w:val="none"/>
                <w14:textFill>
                  <w14:solidFill>
                    <w14:schemeClr w14:val="tx1"/>
                  </w14:solidFill>
                </w14:textFill>
              </w:rPr>
              <w:t>[2020]24</w:t>
            </w:r>
            <w:r>
              <w:rPr>
                <w:rFonts w:hint="eastAsia"/>
                <w:color w:val="000000" w:themeColor="text1"/>
                <w:sz w:val="21"/>
                <w:szCs w:val="21"/>
                <w:highlight w:val="none"/>
                <w14:textFill>
                  <w14:solidFill>
                    <w14:schemeClr w14:val="tx1"/>
                  </w14:solidFill>
                </w14:textFill>
              </w:rPr>
              <w:t>号文通过巩义市环境保护局审批</w:t>
            </w:r>
          </w:p>
        </w:tc>
        <w:tc>
          <w:tcPr>
            <w:tcW w:w="1068" w:type="dxa"/>
            <w:vMerge w:val="continue"/>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3774"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完成自主验收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default" w:ascii="Times New Roman" w:hAnsi="Times New Roman" w:cs="Times New Roman"/>
                <w:b/>
                <w:bCs/>
                <w:kern w:val="0"/>
                <w:sz w:val="21"/>
                <w:szCs w:val="21"/>
                <w:lang w:val="en-US" w:eastAsia="zh-CN"/>
              </w:rPr>
              <w:t>排污许可证</w:t>
            </w:r>
          </w:p>
        </w:tc>
        <w:tc>
          <w:tcPr>
            <w:tcW w:w="7992"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2"/>
                <w:sz w:val="21"/>
                <w:szCs w:val="21"/>
                <w:lang w:val="en-US" w:eastAsia="zh-CN" w:bidi="ar-SA"/>
              </w:rPr>
              <w:t>已</w:t>
            </w:r>
            <w:r>
              <w:rPr>
                <w:rFonts w:hint="eastAsia" w:ascii="Times New Roman" w:hAnsi="Times New Roman" w:eastAsia="宋体" w:cs="Times New Roman"/>
                <w:kern w:val="2"/>
                <w:sz w:val="21"/>
                <w:szCs w:val="21"/>
                <w:lang w:val="en-US" w:eastAsia="zh-CN" w:bidi="ar-SA"/>
              </w:rPr>
              <w:t>取得</w:t>
            </w:r>
            <w:r>
              <w:rPr>
                <w:rFonts w:hint="default" w:ascii="Times New Roman" w:hAnsi="Times New Roman" w:eastAsia="宋体" w:cs="Times New Roman"/>
                <w:kern w:val="2"/>
                <w:sz w:val="21"/>
                <w:szCs w:val="21"/>
                <w:lang w:val="en-US" w:eastAsia="zh-CN" w:bidi="ar-SA"/>
              </w:rPr>
              <w:t>排污许可</w:t>
            </w:r>
            <w:r>
              <w:rPr>
                <w:rFonts w:hint="eastAsia" w:ascii="Times New Roman" w:hAnsi="Times New Roman" w:eastAsia="宋体" w:cs="Times New Roman"/>
                <w:kern w:val="2"/>
                <w:sz w:val="21"/>
                <w:szCs w:val="21"/>
                <w:lang w:val="en-US" w:eastAsia="zh-CN" w:bidi="ar-SA"/>
              </w:rPr>
              <w:t>证</w:t>
            </w:r>
            <w:r>
              <w:rPr>
                <w:rFonts w:hint="default"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排污许可证</w:t>
            </w:r>
            <w:r>
              <w:rPr>
                <w:rFonts w:hint="default" w:ascii="Times New Roman" w:hAnsi="Times New Roman" w:eastAsia="宋体" w:cs="Times New Roman"/>
                <w:kern w:val="2"/>
                <w:sz w:val="21"/>
                <w:szCs w:val="21"/>
                <w:lang w:val="en-US" w:eastAsia="zh-CN" w:bidi="ar-SA"/>
              </w:rPr>
              <w:t>编号</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0"/>
                <w:sz w:val="21"/>
                <w:szCs w:val="21"/>
                <w:lang w:val="en-US" w:eastAsia="zh-CN"/>
              </w:rPr>
              <w:t>91410181MA3XJ7GH6F001R</w:t>
            </w:r>
          </w:p>
        </w:tc>
      </w:tr>
    </w:tbl>
    <w:p>
      <w:pPr>
        <w:ind w:firstLine="480"/>
        <w:outlineLvl w:val="0"/>
        <w:rPr>
          <w:rFonts w:hint="default" w:cs="Times New Roman"/>
          <w:b/>
          <w:bCs/>
          <w:lang w:val="en-US" w:eastAsia="zh-CN"/>
        </w:rPr>
      </w:pPr>
      <w:r>
        <w:rPr>
          <w:rFonts w:hint="eastAsia" w:cs="Times New Roman"/>
          <w:b/>
          <w:bCs/>
          <w:lang w:val="en-US" w:eastAsia="zh-CN"/>
        </w:rPr>
        <w:t>2、企业生产情况</w:t>
      </w:r>
    </w:p>
    <w:p>
      <w:pPr>
        <w:pStyle w:val="5"/>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河南明泰科技发展有限公司成立于2016年，属河南明泰铝业股份有限公司全资子公司，位于巩义市产业集聚区，总占地面积333350m</w:t>
      </w:r>
      <w:r>
        <w:rPr>
          <w:rFonts w:hint="eastAsia" w:ascii="Times New Roman" w:hAnsi="Times New Roman" w:eastAsia="宋体" w:cs="Times New Roman"/>
          <w:color w:val="000000"/>
          <w:kern w:val="0"/>
          <w:sz w:val="24"/>
          <w:szCs w:val="28"/>
          <w:vertAlign w:val="superscript"/>
          <w:lang w:val="en-US" w:eastAsia="zh-CN" w:bidi="ar-SA"/>
        </w:rPr>
        <w:t>2</w:t>
      </w:r>
      <w:r>
        <w:rPr>
          <w:rFonts w:hint="eastAsia" w:ascii="Times New Roman" w:hAnsi="Times New Roman" w:eastAsia="宋体" w:cs="Times New Roman"/>
          <w:color w:val="000000"/>
          <w:kern w:val="0"/>
          <w:sz w:val="24"/>
          <w:szCs w:val="28"/>
          <w:lang w:val="en-US" w:eastAsia="zh-CN" w:bidi="ar-SA"/>
        </w:rPr>
        <w:t>（500亩）。主要从事于高精度铝箔生产、废铝处理和铝灰处置，其中高精度铝箔总产能17.2万t/a，废铝总处理能力可达67.5万t/a，铝灰处置能力12万t/a。公司现有从业人员</w:t>
      </w:r>
      <w:r>
        <w:rPr>
          <w:rFonts w:hint="eastAsia" w:cs="Times New Roman"/>
          <w:color w:val="000000"/>
          <w:kern w:val="0"/>
          <w:sz w:val="24"/>
          <w:szCs w:val="28"/>
          <w:lang w:val="en-US" w:eastAsia="zh-CN" w:bidi="ar-SA"/>
        </w:rPr>
        <w:t>450</w:t>
      </w:r>
      <w:r>
        <w:rPr>
          <w:rFonts w:hint="eastAsia" w:ascii="Times New Roman" w:hAnsi="Times New Roman" w:eastAsia="宋体" w:cs="Times New Roman"/>
          <w:color w:val="000000"/>
          <w:kern w:val="0"/>
          <w:sz w:val="24"/>
          <w:szCs w:val="28"/>
          <w:lang w:val="en-US" w:eastAsia="zh-CN" w:bidi="ar-SA"/>
        </w:rPr>
        <w:t>余人，采用四班三运转工作制，每班工作8h，年工作时间340d。</w:t>
      </w:r>
    </w:p>
    <w:p>
      <w:pPr>
        <w:outlineLvl w:val="1"/>
        <w:rPr>
          <w:rFonts w:hint="default" w:ascii="Times New Roman" w:hAnsi="Times New Roman" w:eastAsia="宋体" w:cs="Times New Roman"/>
          <w:b/>
          <w:bCs/>
          <w:color w:val="000000"/>
          <w:kern w:val="0"/>
          <w:sz w:val="24"/>
          <w:szCs w:val="28"/>
          <w:lang w:val="en-US" w:eastAsia="zh-CN" w:bidi="ar-SA"/>
        </w:rPr>
      </w:pPr>
      <w:r>
        <w:rPr>
          <w:rFonts w:hint="eastAsia" w:ascii="Times New Roman" w:hAnsi="Times New Roman" w:eastAsia="宋体" w:cs="Times New Roman"/>
          <w:b/>
          <w:bCs/>
          <w:color w:val="000000"/>
          <w:kern w:val="0"/>
          <w:sz w:val="24"/>
          <w:szCs w:val="28"/>
          <w:lang w:val="en-US" w:eastAsia="zh-CN" w:bidi="ar-SA"/>
        </w:rPr>
        <w:t>2.1 生产工艺流程</w:t>
      </w:r>
    </w:p>
    <w:p>
      <w:pPr>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1、高精度铝箔生产工艺流程简述</w:t>
      </w:r>
    </w:p>
    <w:p>
      <w:pPr>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原料入厂后暂存车间备料区内，采用叉车输送至冷轧机进行冷轧，轧制成0.95mm-1.1mm厚度铝材。设置4台退火炉用于中间产品退火，以消除遗留硬度和内应力，提高塑性后，退火总时间在20-25h，温度保温在200-400℃之间，能源为天然气。中间退火后的冷轧板叉车输送至箔轧区进行箔轧，根据产品种类厚道要求，轧制过程需直接向铝板表面喷淋轧制油，以起到冷却润滑的作用防止铝板带在高温下被氧化。成品铝板带在轧机出口利用制氮机制成的高压氮气将残留产品表面轧制油吹净。企业设置15台分切机共同使用，以满足不同产品规格尺寸上的分切要求。分切好的半成品收卷后，待成品退火处理。热处理后的铝箔成品经质检合格后大包入库。</w:t>
      </w:r>
    </w:p>
    <w:p>
      <w:pPr>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2、废铝处理工艺流程简述</w:t>
      </w:r>
    </w:p>
    <w:p>
      <w:pPr>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废铝原料主要为外购分选好的铝板带箔报废边角料铝屑、废旧电线电缆铝心、废汽车摩托车纯铝部件、废旧电机电器纯铝部件等废铝料。主要生产工艺为：外购分选好的废铝料——预处理（破碎筛分、磁选、预热）——熔化——精炼（调质）——静置保温——铸锭——各系大扁铝锭产品。</w:t>
      </w:r>
    </w:p>
    <w:p>
      <w:pPr>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3、铝灰处理工艺流程简述</w:t>
      </w:r>
    </w:p>
    <w:p>
      <w:pPr>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铝灰处理主要是通过破碎、碾磨、筛分、溶解、浸出、提盐、提氨、烘干等工艺将铝灰中金属铝、盐、氨等充分的提取出来，同时将剩余物质生产成惰性氧化物产品。</w:t>
      </w:r>
    </w:p>
    <w:p>
      <w:pPr>
        <w:outlineLvl w:val="1"/>
        <w:rPr>
          <w:rFonts w:hint="eastAsia" w:ascii="Times New Roman" w:hAnsi="Times New Roman" w:eastAsia="宋体" w:cs="Times New Roman"/>
          <w:b/>
          <w:bCs/>
          <w:color w:val="000000"/>
          <w:kern w:val="0"/>
          <w:sz w:val="24"/>
          <w:szCs w:val="28"/>
          <w:lang w:val="en-US" w:eastAsia="zh-CN" w:bidi="ar-SA"/>
        </w:rPr>
      </w:pPr>
      <w:r>
        <w:rPr>
          <w:rFonts w:hint="eastAsia" w:ascii="Times New Roman" w:hAnsi="Times New Roman" w:eastAsia="宋体" w:cs="Times New Roman"/>
          <w:b/>
          <w:bCs/>
          <w:color w:val="000000"/>
          <w:kern w:val="0"/>
          <w:sz w:val="24"/>
          <w:szCs w:val="28"/>
          <w:lang w:val="en-US" w:eastAsia="zh-CN" w:bidi="ar-SA"/>
        </w:rPr>
        <w:t>2.2 主要原辅料消耗情况</w:t>
      </w:r>
    </w:p>
    <w:p>
      <w:pPr>
        <w:pStyle w:val="4"/>
        <w:rPr>
          <w:rFonts w:hint="eastAsia" w:ascii="Times New Roman" w:hAnsi="Times New Roman" w:eastAsia="黑体" w:cs="Times New Roman"/>
          <w:color w:val="0000FF"/>
          <w:kern w:val="0"/>
          <w:sz w:val="24"/>
          <w:szCs w:val="24"/>
          <w:u w:val="none"/>
          <w:lang w:val="en-US" w:eastAsia="zh-CN" w:bidi="ar-SA"/>
        </w:rPr>
      </w:pPr>
      <w:r>
        <w:rPr>
          <w:rFonts w:hint="eastAsia" w:ascii="Times New Roman" w:hAnsi="Times New Roman" w:eastAsia="黑体" w:cs="Times New Roman"/>
          <w:color w:val="0000FF"/>
          <w:kern w:val="0"/>
          <w:sz w:val="24"/>
          <w:szCs w:val="24"/>
          <w:u w:val="none"/>
          <w:lang w:val="en-US" w:eastAsia="zh-CN" w:bidi="ar-SA"/>
        </w:rPr>
        <w:t>表</w:t>
      </w:r>
      <w:r>
        <w:rPr>
          <w:rFonts w:hint="eastAsia" w:ascii="Times New Roman" w:hAnsi="Times New Roman" w:cs="Times New Roman"/>
          <w:color w:val="0000FF"/>
          <w:kern w:val="0"/>
          <w:sz w:val="24"/>
          <w:szCs w:val="24"/>
          <w:u w:val="none"/>
          <w:lang w:val="en-US" w:eastAsia="zh-CN" w:bidi="ar-SA"/>
        </w:rPr>
        <w:t xml:space="preserve">2 </w:t>
      </w:r>
      <w:r>
        <w:rPr>
          <w:rFonts w:hint="eastAsia" w:ascii="Times New Roman" w:hAnsi="Times New Roman" w:eastAsia="黑体" w:cs="Times New Roman"/>
          <w:color w:val="0000FF"/>
          <w:kern w:val="0"/>
          <w:sz w:val="24"/>
          <w:szCs w:val="24"/>
          <w:u w:val="none"/>
          <w:lang w:val="en-US" w:eastAsia="zh-CN" w:bidi="ar-SA"/>
        </w:rPr>
        <w:t>主要原辅材料来源一览表</w:t>
      </w:r>
    </w:p>
    <w:tbl>
      <w:tblPr>
        <w:tblStyle w:val="12"/>
        <w:tblW w:w="88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371"/>
        <w:gridCol w:w="1766"/>
        <w:gridCol w:w="46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生产单元</w:t>
            </w:r>
          </w:p>
        </w:tc>
        <w:tc>
          <w:tcPr>
            <w:tcW w:w="1371"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原料名称</w:t>
            </w:r>
          </w:p>
        </w:tc>
        <w:tc>
          <w:tcPr>
            <w:tcW w:w="1766"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消耗量(t/a)</w:t>
            </w:r>
          </w:p>
        </w:tc>
        <w:tc>
          <w:tcPr>
            <w:tcW w:w="4658"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restart"/>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高精度铝箔生产单元</w:t>
            </w: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热轧卷</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191866</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类比现有工程冷箔轧成品率89.6%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轧制油</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98.2</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主要为高分子烃类和游离脂肪酸（20%），用于冷箔轧冷却润滑，车间内补充用油储存量10桶，单通规格200kg，最大储存量2t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硅藻土</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258</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硅藻土添加10%纤维素，用于轧机轧制油过滤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restart"/>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废铝处理单元</w:t>
            </w: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废铝</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562500</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边角废料和铝屑、废旧电线电缆铝</w:t>
            </w:r>
            <w:r>
              <w:rPr>
                <w:rFonts w:hint="eastAsia"/>
                <w:color w:val="000000" w:themeColor="text1"/>
                <w:sz w:val="21"/>
                <w:szCs w:val="21"/>
                <w:highlight w:val="none"/>
                <w:lang w:val="en-US" w:eastAsia="zh-CN"/>
                <w14:textFill>
                  <w14:solidFill>
                    <w14:schemeClr w14:val="tx1"/>
                  </w14:solidFill>
                </w14:textFill>
              </w:rPr>
              <w:t>芯</w:t>
            </w:r>
            <w:r>
              <w:rPr>
                <w:rFonts w:hint="eastAsia"/>
                <w:color w:val="000000" w:themeColor="text1"/>
                <w:sz w:val="21"/>
                <w:szCs w:val="21"/>
                <w:highlight w:val="none"/>
                <w14:textFill>
                  <w14:solidFill>
                    <w14:schemeClr w14:val="tx1"/>
                  </w14:solidFill>
                </w14:textFill>
              </w:rPr>
              <w:t>及废车、电机铝部件，回收打包成品，铝纯度在82.8～90.8%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铝锭</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128616.6</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外购成品铝锭，铝纯度99%以上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添加剂</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7470</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主要为铁剂、锰剂、铜剂及铬剂等金属调质剂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KCl</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1012.5</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保温炉用覆盖剂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氩气</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135000 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/a</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25m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/罐，精炼保护气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氮气</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18697.5 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/a</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/罐，精炼保护气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铝灰处理单元</w:t>
            </w: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铝灰</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120000</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集团内部及回收其他企业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restart"/>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环保及辅助工程</w:t>
            </w: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洗油</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c>
          <w:tcPr>
            <w:tcW w:w="4658" w:type="dxa"/>
            <w:vMerge w:val="restart"/>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冷箔轧油雾废气全油回收装置使用物料，一次性投入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鲍尔环</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130</w:t>
            </w:r>
          </w:p>
        </w:tc>
        <w:tc>
          <w:tcPr>
            <w:tcW w:w="4658"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MY250规整填料</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362.98</w:t>
            </w:r>
          </w:p>
        </w:tc>
        <w:tc>
          <w:tcPr>
            <w:tcW w:w="4658"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机油</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机修及磨削工序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柴油</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柴油电机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restart"/>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资能源</w:t>
            </w: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360562</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由园区供水管网供给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天然气</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4.39×10</w:t>
            </w:r>
            <w:r>
              <w:rPr>
                <w:rFonts w:hint="eastAsia"/>
                <w:color w:val="000000" w:themeColor="text1"/>
                <w:sz w:val="21"/>
                <w:szCs w:val="21"/>
                <w:highlight w:val="none"/>
                <w:vertAlign w:val="superscript"/>
                <w14:textFill>
                  <w14:solidFill>
                    <w14:schemeClr w14:val="tx1"/>
                  </w14:solidFill>
                </w14:textFill>
              </w:rPr>
              <w:t>7</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/a</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管道天然气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5"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137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电</w:t>
            </w:r>
          </w:p>
        </w:tc>
        <w:tc>
          <w:tcPr>
            <w:tcW w:w="1766"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1.61×10</w:t>
            </w:r>
            <w:r>
              <w:rPr>
                <w:rFonts w:hint="eastAsia"/>
                <w:color w:val="000000" w:themeColor="text1"/>
                <w:sz w:val="21"/>
                <w:szCs w:val="21"/>
                <w:highlight w:val="none"/>
                <w:vertAlign w:val="superscript"/>
                <w14:textFill>
                  <w14:solidFill>
                    <w14:schemeClr w14:val="tx1"/>
                  </w14:solidFill>
                </w14:textFill>
              </w:rPr>
              <w:t>8</w:t>
            </w:r>
            <w:r>
              <w:rPr>
                <w:rFonts w:hint="eastAsia"/>
                <w:color w:val="000000" w:themeColor="text1"/>
                <w:sz w:val="21"/>
                <w:szCs w:val="21"/>
                <w:highlight w:val="none"/>
                <w14:textFill>
                  <w14:solidFill>
                    <w14:schemeClr w14:val="tx1"/>
                  </w14:solidFill>
                </w14:textFill>
              </w:rPr>
              <w:t>kW·h/a</w:t>
            </w:r>
          </w:p>
        </w:tc>
        <w:tc>
          <w:tcPr>
            <w:tcW w:w="4658"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由回郭镇变电站供给</w:t>
            </w:r>
          </w:p>
        </w:tc>
      </w:tr>
    </w:tbl>
    <w:p>
      <w:pPr>
        <w:pStyle w:val="5"/>
        <w:outlineLvl w:val="0"/>
        <w:rPr>
          <w:rFonts w:hint="default" w:ascii="Times New Roman" w:hAnsi="Times New Roman" w:eastAsia="宋体" w:cs="Times New Roman"/>
          <w:b/>
          <w:bCs/>
          <w:kern w:val="2"/>
          <w:sz w:val="28"/>
          <w:lang w:val="en-US" w:eastAsia="zh-CN" w:bidi="ar-SA"/>
        </w:rPr>
      </w:pPr>
      <w:r>
        <w:rPr>
          <w:rFonts w:hint="eastAsia" w:ascii="Times New Roman" w:hAnsi="Times New Roman" w:eastAsia="宋体" w:cs="Times New Roman"/>
          <w:b/>
          <w:bCs/>
          <w:kern w:val="2"/>
          <w:sz w:val="28"/>
          <w:lang w:val="en-US" w:eastAsia="zh-CN" w:bidi="ar-SA"/>
        </w:rPr>
        <w:t>3、企业环保执行情况</w:t>
      </w:r>
    </w:p>
    <w:p>
      <w:pPr>
        <w:ind w:firstLine="480"/>
        <w:rPr>
          <w:rFonts w:hint="eastAsia" w:ascii="Times New Roman" w:hAnsi="Times New Roman" w:eastAsia="宋体" w:cs="Times New Roman"/>
          <w:color w:val="000000"/>
          <w:kern w:val="0"/>
          <w:sz w:val="24"/>
          <w:szCs w:val="28"/>
          <w:lang w:val="en-US" w:eastAsia="zh-CN" w:bidi="ar-SA"/>
        </w:rPr>
      </w:pPr>
      <w:r>
        <w:rPr>
          <w:rFonts w:hint="eastAsia" w:ascii="Times New Roman" w:hAnsi="Times New Roman" w:eastAsia="宋体" w:cs="Times New Roman"/>
          <w:color w:val="000000"/>
          <w:kern w:val="0"/>
          <w:sz w:val="24"/>
          <w:szCs w:val="28"/>
          <w:lang w:val="en-US" w:eastAsia="zh-CN" w:bidi="ar-SA"/>
        </w:rPr>
        <w:t>河南明泰科技发展有限公司成立于2016年，属河南明泰铝业股份有限公司全资子公司，2017</w:t>
      </w:r>
      <w:r>
        <w:rPr>
          <w:rFonts w:hint="eastAsia" w:cs="Times New Roman"/>
          <w:color w:val="000000"/>
          <w:kern w:val="0"/>
          <w:sz w:val="24"/>
          <w:szCs w:val="28"/>
          <w:lang w:val="en-US" w:eastAsia="zh-CN" w:bidi="ar-SA"/>
        </w:rPr>
        <w:t>年1月建设年产10万吨高精度铝箔项目</w:t>
      </w:r>
      <w:r>
        <w:rPr>
          <w:rFonts w:hint="eastAsia" w:ascii="Times New Roman" w:hAnsi="Times New Roman" w:eastAsia="宋体" w:cs="Times New Roman"/>
          <w:color w:val="000000"/>
          <w:kern w:val="0"/>
          <w:sz w:val="24"/>
          <w:szCs w:val="28"/>
          <w:lang w:val="en-US" w:eastAsia="zh-CN" w:bidi="ar-SA"/>
        </w:rPr>
        <w:t>，2017年1月9日以巩环建表[2017]1号文通过巩义市环境保护局审批</w:t>
      </w:r>
      <w:r>
        <w:rPr>
          <w:rFonts w:hint="eastAsia" w:cs="Times New Roman"/>
          <w:color w:val="000000"/>
          <w:kern w:val="0"/>
          <w:sz w:val="24"/>
          <w:szCs w:val="28"/>
          <w:lang w:val="en-US" w:eastAsia="zh-CN" w:bidi="ar-SA"/>
        </w:rPr>
        <w:t>，于2018年6月15日完成了该项目的竣工环境保护验收并于信息系统公示；2018年2月建设年处理20万吨废铝项目（一期工程），2018年3月22日以巩环审[2018]5号文通过巩义市环境保护局审批，2019年11月13日完成了项目的竣工环境保护验收并于信息系统公示；2019年3月，建设河南明泰科技发展有限公司废铝综合利用项目，2019年6月27日以巩环建审[2019]72号文通过巩义市环境保护局审批，并完成自主验收；2019年4月建设河南明泰科技发展有限公司高精度铝箔项目，2019年7月1日以巩环建审[2019]75号文通过巩义市环境保护局审批，2020年3月2日完成了该项目的竣工环境保护验收并于信息系统公示；2019年12月建设河南明泰科技发展有限公司铝灰渣综合利用项目，2020年4月20日以巩环建审[2020]24号文通过巩义市环境保护局审批，完成自主验收；</w:t>
      </w:r>
      <w:r>
        <w:rPr>
          <w:rFonts w:hint="eastAsia" w:ascii="Times New Roman" w:hAnsi="Times New Roman" w:eastAsia="宋体" w:cs="Times New Roman"/>
          <w:color w:val="000000"/>
          <w:kern w:val="0"/>
          <w:sz w:val="24"/>
          <w:szCs w:val="28"/>
          <w:lang w:val="en-US" w:eastAsia="zh-CN" w:bidi="ar-SA"/>
        </w:rPr>
        <w:t>环评手续齐全</w:t>
      </w:r>
      <w:r>
        <w:rPr>
          <w:rFonts w:hint="eastAsia" w:cs="Times New Roman"/>
          <w:color w:val="000000"/>
          <w:kern w:val="0"/>
          <w:sz w:val="24"/>
          <w:szCs w:val="28"/>
          <w:lang w:val="en-US" w:eastAsia="zh-CN" w:bidi="ar-SA"/>
        </w:rPr>
        <w:t>，三同时执行良好</w:t>
      </w:r>
      <w:r>
        <w:rPr>
          <w:rFonts w:hint="eastAsia" w:ascii="Times New Roman" w:hAnsi="Times New Roman" w:eastAsia="宋体" w:cs="Times New Roman"/>
          <w:color w:val="000000"/>
          <w:kern w:val="0"/>
          <w:sz w:val="24"/>
          <w:szCs w:val="28"/>
          <w:lang w:val="en-US" w:eastAsia="zh-CN" w:bidi="ar-SA"/>
        </w:rPr>
        <w:t>。</w:t>
      </w:r>
    </w:p>
    <w:p>
      <w:pPr>
        <w:ind w:firstLine="480"/>
        <w:rPr>
          <w:rFonts w:hint="eastAsia" w:ascii="Times New Roman" w:hAnsi="Times New Roman" w:eastAsia="宋体" w:cs="Times New Roman"/>
          <w:color w:val="000000"/>
          <w:kern w:val="0"/>
          <w:sz w:val="24"/>
          <w:szCs w:val="28"/>
          <w:lang w:val="en-US" w:eastAsia="zh-CN" w:bidi="ar-SA"/>
        </w:rPr>
      </w:pPr>
      <w:r>
        <w:rPr>
          <w:rFonts w:hint="eastAsia" w:cs="Times New Roman"/>
          <w:color w:val="000000"/>
          <w:kern w:val="0"/>
          <w:sz w:val="24"/>
          <w:szCs w:val="28"/>
          <w:lang w:val="en-US" w:eastAsia="zh-CN" w:bidi="ar-SA"/>
        </w:rPr>
        <w:t>公司建立有详细的《环境保护责任制管理办法》、《危险废物管理办法》等相关管理制度。企</w:t>
      </w:r>
      <w:r>
        <w:rPr>
          <w:rFonts w:hint="eastAsia" w:ascii="Times New Roman" w:hAnsi="Times New Roman" w:eastAsia="宋体" w:cs="Times New Roman"/>
          <w:color w:val="000000"/>
          <w:kern w:val="0"/>
          <w:sz w:val="24"/>
          <w:szCs w:val="28"/>
          <w:lang w:val="en-US" w:eastAsia="zh-CN" w:bidi="ar-SA"/>
        </w:rPr>
        <w:t>业建立有完善的环境风险应急措施和事故防范措施，于202</w:t>
      </w:r>
      <w:r>
        <w:rPr>
          <w:rFonts w:hint="eastAsia" w:cs="Times New Roman"/>
          <w:color w:val="000000"/>
          <w:kern w:val="0"/>
          <w:sz w:val="24"/>
          <w:szCs w:val="28"/>
          <w:lang w:val="en-US" w:eastAsia="zh-CN" w:bidi="ar-SA"/>
        </w:rPr>
        <w:t>3</w:t>
      </w:r>
      <w:r>
        <w:rPr>
          <w:rFonts w:hint="eastAsia" w:ascii="Times New Roman" w:hAnsi="Times New Roman" w:eastAsia="宋体" w:cs="Times New Roman"/>
          <w:color w:val="000000"/>
          <w:kern w:val="0"/>
          <w:sz w:val="24"/>
          <w:szCs w:val="28"/>
          <w:lang w:val="en-US" w:eastAsia="zh-CN" w:bidi="ar-SA"/>
        </w:rPr>
        <w:t>年编制完成了《河南明泰科技发展有限公司》，并在</w:t>
      </w:r>
      <w:r>
        <w:rPr>
          <w:rFonts w:hint="eastAsia" w:cs="Times New Roman"/>
          <w:color w:val="000000"/>
          <w:kern w:val="0"/>
          <w:sz w:val="24"/>
          <w:szCs w:val="28"/>
          <w:lang w:val="en-US" w:eastAsia="zh-CN" w:bidi="ar-SA"/>
        </w:rPr>
        <w:t>郑州</w:t>
      </w:r>
      <w:r>
        <w:rPr>
          <w:rFonts w:hint="eastAsia" w:ascii="Times New Roman" w:hAnsi="Times New Roman" w:eastAsia="宋体" w:cs="Times New Roman"/>
          <w:color w:val="000000"/>
          <w:kern w:val="0"/>
          <w:sz w:val="24"/>
          <w:szCs w:val="28"/>
          <w:lang w:val="en-US" w:eastAsia="zh-CN" w:bidi="ar-SA"/>
        </w:rPr>
        <w:t>市生态环境局</w:t>
      </w:r>
      <w:r>
        <w:rPr>
          <w:rFonts w:hint="eastAsia" w:cs="Times New Roman"/>
          <w:color w:val="000000"/>
          <w:kern w:val="0"/>
          <w:sz w:val="24"/>
          <w:szCs w:val="28"/>
          <w:lang w:val="en-US" w:eastAsia="zh-CN" w:bidi="ar-SA"/>
        </w:rPr>
        <w:t>巩义</w:t>
      </w:r>
      <w:r>
        <w:rPr>
          <w:rFonts w:hint="eastAsia" w:ascii="Times New Roman" w:hAnsi="Times New Roman" w:eastAsia="宋体" w:cs="Times New Roman"/>
          <w:color w:val="000000"/>
          <w:kern w:val="0"/>
          <w:sz w:val="24"/>
          <w:szCs w:val="28"/>
          <w:lang w:val="en-US" w:eastAsia="zh-CN" w:bidi="ar-SA"/>
        </w:rPr>
        <w:t>分局完成备案</w:t>
      </w:r>
      <w:r>
        <w:rPr>
          <w:rFonts w:hint="eastAsia" w:cs="Times New Roman"/>
          <w:color w:val="000000"/>
          <w:kern w:val="0"/>
          <w:sz w:val="24"/>
          <w:szCs w:val="28"/>
          <w:lang w:val="en-US" w:eastAsia="zh-CN" w:bidi="ar-SA"/>
        </w:rPr>
        <w:t>，风险等级为一般风险</w:t>
      </w:r>
      <w:r>
        <w:rPr>
          <w:rFonts w:hint="eastAsia" w:ascii="Times New Roman" w:hAnsi="Times New Roman" w:cs="Times New Roman"/>
          <w:color w:val="000000"/>
          <w:kern w:val="0"/>
          <w:sz w:val="24"/>
          <w:szCs w:val="28"/>
          <w:lang w:val="en-US" w:eastAsia="zh-CN" w:bidi="ar-SA"/>
        </w:rPr>
        <w:t>。</w:t>
      </w:r>
    </w:p>
    <w:p>
      <w:pPr>
        <w:ind w:firstLine="480"/>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t>公司领导高度重视自身的环保工作，并付诸实施。针对生产及生活过程中产生的废气、废水、噪声及固废，公司也配备了相应的处理设备、设施</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且</w:t>
      </w:r>
      <w:r>
        <w:rPr>
          <w:rFonts w:ascii="Times New Roman" w:hAnsi="Times New Roman" w:eastAsia="宋体" w:cs="Times New Roman"/>
          <w:color w:val="auto"/>
          <w:sz w:val="24"/>
        </w:rPr>
        <w:t>污染</w:t>
      </w:r>
      <w:r>
        <w:rPr>
          <w:rFonts w:hint="eastAsia" w:ascii="Times New Roman" w:hAnsi="Times New Roman" w:eastAsia="宋体" w:cs="Times New Roman"/>
          <w:color w:val="auto"/>
          <w:sz w:val="24"/>
          <w:lang w:val="en-US" w:eastAsia="zh-CN"/>
        </w:rPr>
        <w:t>治理</w:t>
      </w:r>
      <w:r>
        <w:rPr>
          <w:rFonts w:ascii="Times New Roman" w:hAnsi="Times New Roman" w:eastAsia="宋体" w:cs="Times New Roman"/>
          <w:color w:val="auto"/>
          <w:sz w:val="24"/>
        </w:rPr>
        <w:t>设施</w:t>
      </w:r>
      <w:r>
        <w:rPr>
          <w:rFonts w:hint="eastAsia" w:ascii="Times New Roman" w:hAnsi="Times New Roman" w:eastAsia="宋体" w:cs="Times New Roman"/>
          <w:color w:val="auto"/>
          <w:sz w:val="24"/>
          <w:lang w:val="en-US" w:eastAsia="zh-CN"/>
        </w:rPr>
        <w:t>与</w:t>
      </w:r>
      <w:r>
        <w:rPr>
          <w:rFonts w:ascii="Times New Roman" w:hAnsi="Times New Roman" w:eastAsia="宋体" w:cs="Times New Roman"/>
          <w:color w:val="auto"/>
          <w:sz w:val="24"/>
        </w:rPr>
        <w:t>主体工程</w:t>
      </w:r>
      <w:r>
        <w:rPr>
          <w:rFonts w:hint="default" w:ascii="Times New Roman" w:hAnsi="Times New Roman" w:eastAsia="宋体" w:cs="Times New Roman"/>
          <w:color w:val="auto"/>
          <w:sz w:val="24"/>
        </w:rPr>
        <w:t>同时设计、同时施工、同时投产使用</w:t>
      </w:r>
      <w:r>
        <w:rPr>
          <w:rFonts w:hint="eastAsia" w:ascii="Times New Roman" w:hAnsi="Times New Roman" w:eastAsia="宋体" w:cs="Times New Roman"/>
          <w:color w:val="auto"/>
          <w:sz w:val="24"/>
          <w:lang w:eastAsia="zh-CN"/>
        </w:rPr>
        <w:t>。</w:t>
      </w:r>
    </w:p>
    <w:p>
      <w:pPr>
        <w:ind w:firstLine="480"/>
        <w:rPr>
          <w:rFonts w:hint="default" w:eastAsia="宋体"/>
          <w:lang w:val="en-US" w:eastAsia="zh-CN"/>
        </w:rPr>
      </w:pPr>
      <w:r>
        <w:rPr>
          <w:rFonts w:hint="eastAsia"/>
          <w:color w:val="auto"/>
          <w:sz w:val="24"/>
          <w:lang w:val="en-US" w:eastAsia="zh-CN"/>
        </w:rPr>
        <w:t>公司已于2021年6月25日取得排污许可证，排污许可证证书编号为91410181MA3XJ7GH6F001R。</w:t>
      </w:r>
      <w:r>
        <w:rPr>
          <w:color w:val="auto"/>
          <w:sz w:val="24"/>
        </w:rPr>
        <w:t>企业环境管理工作持续改进，没有发生环境污染事件。</w:t>
      </w:r>
    </w:p>
    <w:p>
      <w:pPr>
        <w:ind w:firstLine="480"/>
        <w:outlineLvl w:val="0"/>
        <w:rPr>
          <w:rFonts w:hint="default" w:ascii="Times New Roman" w:hAnsi="Times New Roman" w:eastAsia="宋体" w:cs="Times New Roman"/>
          <w:b/>
          <w:bCs/>
          <w:lang w:val="en-US" w:eastAsia="zh-CN"/>
        </w:rPr>
      </w:pPr>
      <w:r>
        <w:rPr>
          <w:rFonts w:hint="eastAsia" w:cs="Times New Roman"/>
          <w:b/>
          <w:bCs/>
          <w:lang w:val="en-US" w:eastAsia="zh-CN"/>
        </w:rPr>
        <w:t>4、企业主要产排污情况</w:t>
      </w:r>
    </w:p>
    <w:p>
      <w:pPr>
        <w:bidi w:val="0"/>
        <w:rPr>
          <w:rFonts w:hint="default" w:ascii="Times New Roman" w:hAnsi="Times New Roman" w:eastAsia="宋体" w:cs="Times New Roman"/>
          <w:color w:val="000000"/>
          <w:kern w:val="0"/>
          <w:sz w:val="24"/>
          <w:szCs w:val="28"/>
          <w:lang w:val="en-US" w:eastAsia="zh-CN" w:bidi="ar-SA"/>
        </w:rPr>
      </w:pPr>
      <w:r>
        <w:rPr>
          <w:rFonts w:hint="default" w:ascii="Times New Roman" w:hAnsi="Times New Roman" w:eastAsia="宋体" w:cs="Times New Roman"/>
          <w:color w:val="000000"/>
          <w:kern w:val="0"/>
          <w:sz w:val="24"/>
          <w:szCs w:val="28"/>
          <w:lang w:val="en-US" w:eastAsia="zh-CN" w:bidi="ar-SA"/>
        </w:rPr>
        <w:t>通过对企业生产现状的基本了解，企业生产过程中产生的污染物主要为废气、废水、噪声和固废。现场调查发现，企业对其生产过程产生的污染物也均采取了有效的措施进行治理，汇总企业污染物的产生及治理情况如下：</w:t>
      </w:r>
    </w:p>
    <w:p>
      <w:pPr>
        <w:ind w:firstLine="0" w:firstLineChars="0"/>
        <w:jc w:val="center"/>
        <w:rPr>
          <w:rFonts w:hint="default" w:ascii="Times New Roman" w:hAnsi="Times New Roman" w:eastAsia="黑体" w:cs="Times New Roman"/>
          <w:color w:val="auto"/>
          <w:kern w:val="0"/>
          <w:sz w:val="24"/>
          <w:szCs w:val="24"/>
          <w:u w:val="none"/>
          <w:lang w:val="en-US" w:eastAsia="zh-CN" w:bidi="ar-SA"/>
        </w:rPr>
      </w:pPr>
      <w:r>
        <w:rPr>
          <w:rFonts w:hint="default" w:ascii="Times New Roman" w:hAnsi="Times New Roman" w:eastAsia="黑体" w:cs="Times New Roman"/>
          <w:color w:val="auto"/>
          <w:kern w:val="0"/>
          <w:sz w:val="24"/>
          <w:szCs w:val="24"/>
          <w:u w:val="none"/>
          <w:lang w:val="en-US" w:eastAsia="zh-CN" w:bidi="ar-SA"/>
        </w:rPr>
        <w:t>表</w:t>
      </w:r>
      <w:r>
        <w:rPr>
          <w:rFonts w:hint="eastAsia" w:ascii="Times New Roman" w:hAnsi="Times New Roman" w:eastAsia="黑体" w:cs="Times New Roman"/>
          <w:color w:val="auto"/>
          <w:kern w:val="0"/>
          <w:sz w:val="24"/>
          <w:szCs w:val="24"/>
          <w:u w:val="none"/>
          <w:lang w:val="en-US" w:eastAsia="zh-CN" w:bidi="ar-SA"/>
        </w:rPr>
        <w:t>3</w:t>
      </w:r>
      <w:r>
        <w:rPr>
          <w:rFonts w:hint="eastAsia" w:eastAsia="黑体" w:cs="Times New Roman"/>
          <w:color w:val="auto"/>
          <w:kern w:val="0"/>
          <w:sz w:val="24"/>
          <w:szCs w:val="24"/>
          <w:u w:val="none"/>
          <w:lang w:val="en-US" w:eastAsia="zh-CN" w:bidi="ar-SA"/>
        </w:rPr>
        <w:t xml:space="preserve"> </w:t>
      </w:r>
      <w:r>
        <w:rPr>
          <w:rFonts w:hint="default" w:ascii="Times New Roman" w:hAnsi="Times New Roman" w:eastAsia="黑体" w:cs="Times New Roman"/>
          <w:color w:val="auto"/>
          <w:kern w:val="0"/>
          <w:sz w:val="24"/>
          <w:szCs w:val="24"/>
          <w:u w:val="none"/>
          <w:lang w:val="en-US" w:eastAsia="zh-CN" w:bidi="ar-SA"/>
        </w:rPr>
        <w:t>企业污染物产生环节及治理措施一览表</w:t>
      </w:r>
    </w:p>
    <w:tbl>
      <w:tblPr>
        <w:tblStyle w:val="12"/>
        <w:tblW w:w="88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3"/>
        <w:gridCol w:w="1243"/>
        <w:gridCol w:w="1657"/>
        <w:gridCol w:w="140"/>
        <w:gridCol w:w="1762"/>
        <w:gridCol w:w="2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718" w:type="dxa"/>
            <w:tcBorders>
              <w:tl2br w:val="nil"/>
              <w:tr2bl w:val="nil"/>
            </w:tcBorders>
            <w:vAlign w:val="center"/>
          </w:tcPr>
          <w:p>
            <w:pPr>
              <w:pStyle w:val="17"/>
              <w:widowControl w:val="0"/>
              <w:spacing w:line="240" w:lineRule="auto"/>
              <w:ind w:firstLine="0" w:firstLineChars="0"/>
              <w:rPr>
                <w:rFonts w:eastAsia="宋体"/>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生产单元</w:t>
            </w:r>
          </w:p>
        </w:tc>
        <w:tc>
          <w:tcPr>
            <w:tcW w:w="603" w:type="dxa"/>
            <w:tcBorders>
              <w:tl2br w:val="nil"/>
              <w:tr2bl w:val="nil"/>
            </w:tcBorders>
            <w:vAlign w:val="center"/>
          </w:tcPr>
          <w:p>
            <w:pPr>
              <w:pStyle w:val="17"/>
              <w:widowControl w:val="0"/>
              <w:spacing w:line="240" w:lineRule="auto"/>
              <w:ind w:firstLine="0" w:firstLineChars="0"/>
              <w:rPr>
                <w:rFonts w:eastAsia="宋体"/>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类别</w:t>
            </w:r>
          </w:p>
        </w:tc>
        <w:tc>
          <w:tcPr>
            <w:tcW w:w="1243" w:type="dxa"/>
            <w:tcBorders>
              <w:tl2br w:val="nil"/>
              <w:tr2bl w:val="nil"/>
            </w:tcBorders>
            <w:vAlign w:val="center"/>
          </w:tcPr>
          <w:p>
            <w:pPr>
              <w:pStyle w:val="17"/>
              <w:widowControl w:val="0"/>
              <w:spacing w:line="240" w:lineRule="auto"/>
              <w:ind w:firstLine="0" w:firstLineChars="0"/>
              <w:rPr>
                <w:rFonts w:eastAsia="宋体"/>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产污环节</w:t>
            </w:r>
          </w:p>
        </w:tc>
        <w:tc>
          <w:tcPr>
            <w:tcW w:w="1797" w:type="dxa"/>
            <w:gridSpan w:val="2"/>
            <w:tcBorders>
              <w:tl2br w:val="nil"/>
              <w:tr2bl w:val="nil"/>
            </w:tcBorders>
            <w:vAlign w:val="center"/>
          </w:tcPr>
          <w:p>
            <w:pPr>
              <w:pStyle w:val="17"/>
              <w:widowControl w:val="0"/>
              <w:spacing w:line="240" w:lineRule="auto"/>
              <w:ind w:firstLine="0" w:firstLineChars="0"/>
              <w:rPr>
                <w:rFonts w:eastAsia="宋体"/>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污染物</w:t>
            </w:r>
          </w:p>
        </w:tc>
        <w:tc>
          <w:tcPr>
            <w:tcW w:w="1762" w:type="dxa"/>
            <w:tcBorders>
              <w:tl2br w:val="nil"/>
              <w:tr2bl w:val="nil"/>
            </w:tcBorders>
            <w:vAlign w:val="center"/>
          </w:tcPr>
          <w:p>
            <w:pPr>
              <w:pStyle w:val="17"/>
              <w:widowControl w:val="0"/>
              <w:spacing w:line="240" w:lineRule="auto"/>
              <w:ind w:firstLine="0" w:firstLineChars="0"/>
              <w:rPr>
                <w:rFonts w:eastAsia="宋体"/>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污染因子</w:t>
            </w:r>
          </w:p>
        </w:tc>
        <w:tc>
          <w:tcPr>
            <w:tcW w:w="2767" w:type="dxa"/>
            <w:tcBorders>
              <w:tl2br w:val="nil"/>
              <w:tr2bl w:val="nil"/>
            </w:tcBorders>
            <w:vAlign w:val="center"/>
          </w:tcPr>
          <w:p>
            <w:pPr>
              <w:pStyle w:val="17"/>
              <w:widowControl w:val="0"/>
              <w:spacing w:line="240" w:lineRule="auto"/>
              <w:ind w:firstLine="0" w:firstLineChars="0"/>
              <w:rPr>
                <w:rFonts w:eastAsia="宋体"/>
                <w:b/>
                <w:bCs/>
                <w:color w:val="000000" w:themeColor="text1"/>
                <w:sz w:val="21"/>
                <w:szCs w:val="21"/>
                <w:highlight w:val="none"/>
                <w14:textFill>
                  <w14:solidFill>
                    <w14:schemeClr w14:val="tx1"/>
                  </w14:solidFill>
                </w14:textFill>
              </w:rPr>
            </w:pPr>
            <w:r>
              <w:rPr>
                <w:rFonts w:hint="eastAsia" w:eastAsia="宋体"/>
                <w:b/>
                <w:bCs/>
                <w:color w:val="000000" w:themeColor="text1"/>
                <w:sz w:val="21"/>
                <w:szCs w:val="21"/>
                <w:highlight w:val="none"/>
                <w14:textFill>
                  <w14:solidFill>
                    <w14:schemeClr w14:val="tx1"/>
                  </w14:solidFill>
                </w14:textFill>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高精度铝箔生产单元</w:t>
            </w: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冷、箔轧机</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油雾废气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非甲烷总烃</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3套全油回收装置处理后25m排气筒排放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燃气退火炉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烟尘、SO</w:t>
            </w:r>
            <w:r>
              <w:rPr>
                <w:rFonts w:hint="eastAsia" w:eastAsia="宋体"/>
                <w:color w:val="000000" w:themeColor="text1"/>
                <w:sz w:val="21"/>
                <w:szCs w:val="21"/>
                <w:highlight w:val="none"/>
                <w:vertAlign w:val="subscript"/>
                <w14:textFill>
                  <w14:solidFill>
                    <w14:schemeClr w14:val="tx1"/>
                  </w14:solidFill>
                </w14:textFill>
              </w:rPr>
              <w:t>2</w:t>
            </w:r>
            <w:r>
              <w:rPr>
                <w:rFonts w:hint="eastAsia" w:eastAsia="宋体"/>
                <w:color w:val="000000" w:themeColor="text1"/>
                <w:sz w:val="21"/>
                <w:szCs w:val="21"/>
                <w:highlight w:val="none"/>
                <w14:textFill>
                  <w14:solidFill>
                    <w14:schemeClr w14:val="tx1"/>
                  </w14:solidFill>
                </w14:textFill>
              </w:rPr>
              <w:t>、NOx及非甲烷总烃</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1根15m排气筒直接排放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废水</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职工生活</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生活污水</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COD、NH</w:t>
            </w:r>
            <w:r>
              <w:rPr>
                <w:rFonts w:hint="eastAsia" w:eastAsia="宋体"/>
                <w:color w:val="000000" w:themeColor="text1"/>
                <w:sz w:val="21"/>
                <w:szCs w:val="21"/>
                <w:highlight w:val="none"/>
                <w:vertAlign w:val="subscript"/>
                <w14:textFill>
                  <w14:solidFill>
                    <w14:schemeClr w14:val="tx1"/>
                  </w14:solidFill>
                </w14:textFill>
              </w:rPr>
              <w:t>3</w:t>
            </w:r>
            <w:r>
              <w:rPr>
                <w:rFonts w:hint="eastAsia" w:eastAsia="宋体"/>
                <w:color w:val="000000" w:themeColor="text1"/>
                <w:sz w:val="21"/>
                <w:szCs w:val="21"/>
                <w:highlight w:val="none"/>
                <w14:textFill>
                  <w14:solidFill>
                    <w14:schemeClr w14:val="tx1"/>
                  </w14:solidFill>
                </w14:textFill>
              </w:rPr>
              <w:t>-N</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1套20m</w:t>
            </w:r>
            <w:r>
              <w:rPr>
                <w:rFonts w:hint="eastAsia" w:eastAsia="宋体"/>
                <w:color w:val="000000" w:themeColor="text1"/>
                <w:sz w:val="21"/>
                <w:szCs w:val="21"/>
                <w:highlight w:val="none"/>
                <w:vertAlign w:val="superscript"/>
                <w14:textFill>
                  <w14:solidFill>
                    <w14:schemeClr w14:val="tx1"/>
                  </w14:solidFill>
                </w14:textFill>
              </w:rPr>
              <w:t>3</w:t>
            </w:r>
            <w:r>
              <w:rPr>
                <w:rFonts w:hint="eastAsia" w:eastAsia="宋体"/>
                <w:color w:val="000000" w:themeColor="text1"/>
                <w:sz w:val="21"/>
                <w:szCs w:val="21"/>
                <w:highlight w:val="none"/>
                <w14:textFill>
                  <w14:solidFill>
                    <w14:schemeClr w14:val="tx1"/>
                  </w14:solidFill>
                </w14:textFill>
              </w:rPr>
              <w:t>/d一体化污水处理设施处理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固废</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剪切和质检</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边角废料</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一般固废</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定期用于废铝生产线原料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板式过滤机</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含油渣废硅藻土</w:t>
            </w:r>
          </w:p>
        </w:tc>
        <w:tc>
          <w:tcPr>
            <w:tcW w:w="1762"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危险固废</w:t>
            </w:r>
          </w:p>
        </w:tc>
        <w:tc>
          <w:tcPr>
            <w:tcW w:w="2767"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危废间暂存，定期交由有处理资质处理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废硅藻土</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废滤布</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污泥</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废包装桶</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废油布</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废铝处理单元</w:t>
            </w: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破碎筛分</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粉尘</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粉尘</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破碎机和筛分机进出料口设置集气罩，引至1套袋式除尘器处理后20m排气筒排放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中频电炉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烟尘</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主要为铝氧化物</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箱体式集气系统，熔铝烟尘经收集引至1套袋式除尘器处理后经20m排气筒排放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回转炉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熔铝废气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烟尘、SO</w:t>
            </w:r>
            <w:r>
              <w:rPr>
                <w:rFonts w:hint="eastAsia" w:eastAsia="宋体"/>
                <w:color w:val="000000" w:themeColor="text1"/>
                <w:sz w:val="21"/>
                <w:szCs w:val="21"/>
                <w:highlight w:val="none"/>
                <w:vertAlign w:val="subscript"/>
                <w14:textFill>
                  <w14:solidFill>
                    <w14:schemeClr w14:val="tx1"/>
                  </w14:solidFill>
                </w14:textFill>
              </w:rPr>
              <w:t>2</w:t>
            </w:r>
            <w:r>
              <w:rPr>
                <w:rFonts w:hint="eastAsia" w:eastAsia="宋体"/>
                <w:color w:val="000000" w:themeColor="text1"/>
                <w:sz w:val="21"/>
                <w:szCs w:val="21"/>
                <w:highlight w:val="none"/>
                <w14:textFill>
                  <w14:solidFill>
                    <w14:schemeClr w14:val="tx1"/>
                  </w14:solidFill>
                </w14:textFill>
              </w:rPr>
              <w:t>、NO</w:t>
            </w:r>
            <w:r>
              <w:rPr>
                <w:rFonts w:hint="eastAsia" w:eastAsia="宋体"/>
                <w:color w:val="000000" w:themeColor="text1"/>
                <w:sz w:val="21"/>
                <w:szCs w:val="21"/>
                <w:highlight w:val="none"/>
                <w:vertAlign w:val="subscript"/>
                <w14:textFill>
                  <w14:solidFill>
                    <w14:schemeClr w14:val="tx1"/>
                  </w14:solidFill>
                </w14:textFill>
              </w:rPr>
              <w:t>X</w:t>
            </w:r>
            <w:r>
              <w:rPr>
                <w:rFonts w:hint="eastAsia" w:eastAsia="宋体"/>
                <w:color w:val="000000" w:themeColor="text1"/>
                <w:sz w:val="21"/>
                <w:szCs w:val="21"/>
                <w:highlight w:val="none"/>
                <w14:textFill>
                  <w14:solidFill>
                    <w14:schemeClr w14:val="tx1"/>
                  </w14:solidFill>
                </w14:textFill>
              </w:rPr>
              <w:t>及二噁英</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回转炉为全密闭结构，运行过程中废气经密闭管道全部引至1套袋式除尘器处理后经20m排气筒排放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双室炉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熔铝废气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烟尘、SO</w:t>
            </w:r>
            <w:r>
              <w:rPr>
                <w:rFonts w:hint="eastAsia" w:eastAsia="宋体"/>
                <w:color w:val="000000" w:themeColor="text1"/>
                <w:sz w:val="21"/>
                <w:szCs w:val="21"/>
                <w:highlight w:val="none"/>
                <w:vertAlign w:val="subscript"/>
                <w14:textFill>
                  <w14:solidFill>
                    <w14:schemeClr w14:val="tx1"/>
                  </w14:solidFill>
                </w14:textFill>
              </w:rPr>
              <w:t>2</w:t>
            </w:r>
            <w:r>
              <w:rPr>
                <w:rFonts w:hint="eastAsia" w:eastAsia="宋体"/>
                <w:color w:val="000000" w:themeColor="text1"/>
                <w:sz w:val="21"/>
                <w:szCs w:val="21"/>
                <w:highlight w:val="none"/>
                <w14:textFill>
                  <w14:solidFill>
                    <w14:schemeClr w14:val="tx1"/>
                  </w14:solidFill>
                </w14:textFill>
              </w:rPr>
              <w:t>、NO</w:t>
            </w:r>
            <w:r>
              <w:rPr>
                <w:rFonts w:hint="eastAsia" w:eastAsia="宋体"/>
                <w:color w:val="000000" w:themeColor="text1"/>
                <w:sz w:val="21"/>
                <w:szCs w:val="21"/>
                <w:highlight w:val="none"/>
                <w:vertAlign w:val="subscript"/>
                <w14:textFill>
                  <w14:solidFill>
                    <w14:schemeClr w14:val="tx1"/>
                  </w14:solidFill>
                </w14:textFill>
              </w:rPr>
              <w:t>X</w:t>
            </w:r>
            <w:r>
              <w:rPr>
                <w:rFonts w:hint="eastAsia" w:eastAsia="宋体"/>
                <w:color w:val="000000" w:themeColor="text1"/>
                <w:sz w:val="21"/>
                <w:szCs w:val="21"/>
                <w:highlight w:val="none"/>
                <w14:textFill>
                  <w14:solidFill>
                    <w14:schemeClr w14:val="tx1"/>
                  </w14:solidFill>
                </w14:textFill>
              </w:rPr>
              <w:t>及二噁英</w:t>
            </w:r>
          </w:p>
        </w:tc>
        <w:tc>
          <w:tcPr>
            <w:tcW w:w="2767"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双室炉和保温炉炉口设置集气罩，扒渣工段和双室炉余热利用后的炉气经收集后引至1套袋式除尘器处理后经20m排气筒排放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保温炉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烟尘、SO</w:t>
            </w:r>
            <w:r>
              <w:rPr>
                <w:rFonts w:hint="eastAsia" w:eastAsia="宋体"/>
                <w:color w:val="000000" w:themeColor="text1"/>
                <w:sz w:val="21"/>
                <w:szCs w:val="21"/>
                <w:highlight w:val="none"/>
                <w:vertAlign w:val="subscript"/>
                <w14:textFill>
                  <w14:solidFill>
                    <w14:schemeClr w14:val="tx1"/>
                  </w14:solidFill>
                </w14:textFill>
              </w:rPr>
              <w:t>2</w:t>
            </w:r>
            <w:r>
              <w:rPr>
                <w:rFonts w:hint="eastAsia" w:eastAsia="宋体"/>
                <w:color w:val="000000" w:themeColor="text1"/>
                <w:sz w:val="21"/>
                <w:szCs w:val="21"/>
                <w:highlight w:val="none"/>
                <w14:textFill>
                  <w14:solidFill>
                    <w14:schemeClr w14:val="tx1"/>
                  </w14:solidFill>
                </w14:textFill>
              </w:rPr>
              <w:t>、NO</w:t>
            </w:r>
            <w:r>
              <w:rPr>
                <w:rFonts w:hint="eastAsia" w:eastAsia="宋体"/>
                <w:color w:val="000000" w:themeColor="text1"/>
                <w:sz w:val="21"/>
                <w:szCs w:val="21"/>
                <w:highlight w:val="none"/>
                <w:vertAlign w:val="subscript"/>
                <w14:textFill>
                  <w14:solidFill>
                    <w14:schemeClr w14:val="tx1"/>
                  </w14:solidFill>
                </w14:textFill>
              </w:rPr>
              <w:t>X</w:t>
            </w:r>
            <w:r>
              <w:rPr>
                <w:rFonts w:hint="eastAsia" w:eastAsia="宋体"/>
                <w:color w:val="000000" w:themeColor="text1"/>
                <w:sz w:val="21"/>
                <w:szCs w:val="21"/>
                <w:highlight w:val="none"/>
                <w14:textFill>
                  <w14:solidFill>
                    <w14:schemeClr w14:val="tx1"/>
                  </w14:solidFill>
                </w14:textFill>
              </w:rPr>
              <w:t>及HCl</w:t>
            </w: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铝灰处理机</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粉尘</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主要为铝氧化物</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经管道引至1套袋式除尘器进行收集处理后经20m排气筒排放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废水</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开式循环冷却系统</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定期排污水</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COD、SS</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属清净下水，直接通过厂区总排污口排放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职工生活</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生活污水</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COD、NH</w:t>
            </w:r>
            <w:r>
              <w:rPr>
                <w:rFonts w:hint="eastAsia" w:eastAsia="宋体"/>
                <w:color w:val="000000" w:themeColor="text1"/>
                <w:sz w:val="21"/>
                <w:szCs w:val="21"/>
                <w:highlight w:val="none"/>
                <w:vertAlign w:val="subscript"/>
                <w14:textFill>
                  <w14:solidFill>
                    <w14:schemeClr w14:val="tx1"/>
                  </w14:solidFill>
                </w14:textFill>
              </w:rPr>
              <w:t>3</w:t>
            </w:r>
            <w:r>
              <w:rPr>
                <w:rFonts w:hint="eastAsia" w:eastAsia="宋体"/>
                <w:color w:val="000000" w:themeColor="text1"/>
                <w:sz w:val="21"/>
                <w:szCs w:val="21"/>
                <w:highlight w:val="none"/>
                <w14:textFill>
                  <w14:solidFill>
                    <w14:schemeClr w14:val="tx1"/>
                  </w14:solidFill>
                </w14:textFill>
              </w:rPr>
              <w:t>-N</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依托现有污水处理设施处理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固废</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磁选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铁杂质</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一般固废</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经收集后暂存一般固废暂存间，定期外售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中频电炉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铝渣</w:t>
            </w:r>
          </w:p>
        </w:tc>
        <w:tc>
          <w:tcPr>
            <w:tcW w:w="1762" w:type="dxa"/>
            <w:vMerge w:val="restart"/>
            <w:tcBorders>
              <w:tl2br w:val="nil"/>
              <w:tr2bl w:val="nil"/>
            </w:tcBorders>
            <w:vAlign w:val="center"/>
          </w:tcPr>
          <w:p>
            <w:pPr>
              <w:pStyle w:val="17"/>
              <w:widowControl w:val="0"/>
              <w:spacing w:line="240" w:lineRule="auto"/>
              <w:ind w:firstLine="210" w:firstLineChars="100"/>
              <w:jc w:val="left"/>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危险废物</w:t>
            </w:r>
          </w:p>
        </w:tc>
        <w:tc>
          <w:tcPr>
            <w:tcW w:w="2767"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危废间暂存，定期交由资质企业处置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回转炉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铝渣</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双室炉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铝渣</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保温炉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铝渣</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热铝灰处理机</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铝灰</w:t>
            </w:r>
          </w:p>
        </w:tc>
        <w:tc>
          <w:tcPr>
            <w:tcW w:w="1762"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危废间暂存，定期交由资质企业处置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袋式除尘器</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收集粉尘</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危险固废</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危废间暂存，定期交由资质企业处置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铝灰处理单元</w:t>
            </w: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破碎、球磨及筛分</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粉尘</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颗粒物</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进出料口设置集气罩，引至1套袋式除尘器处理后15气筒排放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溶解浸出</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氨、氢</w:t>
            </w:r>
          </w:p>
        </w:tc>
        <w:tc>
          <w:tcPr>
            <w:tcW w:w="2767"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密闭管道+1套氨气吸收装置+1根15m排气筒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多效蒸发器</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氨</w:t>
            </w:r>
          </w:p>
        </w:tc>
        <w:tc>
          <w:tcPr>
            <w:tcW w:w="2767"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燃气热风烘炉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烟尘、SO</w:t>
            </w:r>
            <w:r>
              <w:rPr>
                <w:rFonts w:hint="eastAsia" w:eastAsia="宋体"/>
                <w:color w:val="000000" w:themeColor="text1"/>
                <w:sz w:val="21"/>
                <w:szCs w:val="21"/>
                <w:highlight w:val="none"/>
                <w:vertAlign w:val="subscript"/>
                <w14:textFill>
                  <w14:solidFill>
                    <w14:schemeClr w14:val="tx1"/>
                  </w14:solidFill>
                </w14:textFill>
              </w:rPr>
              <w:t>2</w:t>
            </w:r>
            <w:r>
              <w:rPr>
                <w:rFonts w:hint="eastAsia" w:eastAsia="宋体"/>
                <w:color w:val="000000" w:themeColor="text1"/>
                <w:sz w:val="21"/>
                <w:szCs w:val="21"/>
                <w:highlight w:val="none"/>
                <w14:textFill>
                  <w14:solidFill>
                    <w14:schemeClr w14:val="tx1"/>
                  </w14:solidFill>
                </w14:textFill>
              </w:rPr>
              <w:t>及NOx</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1根15m排气筒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燃气锅炉</w:t>
            </w:r>
          </w:p>
        </w:tc>
        <w:tc>
          <w:tcPr>
            <w:tcW w:w="1797"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废气</w:t>
            </w:r>
          </w:p>
        </w:tc>
        <w:tc>
          <w:tcPr>
            <w:tcW w:w="1762"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烟尘、SO</w:t>
            </w:r>
            <w:r>
              <w:rPr>
                <w:rFonts w:hint="eastAsia" w:eastAsia="宋体"/>
                <w:color w:val="000000" w:themeColor="text1"/>
                <w:sz w:val="21"/>
                <w:szCs w:val="21"/>
                <w:highlight w:val="none"/>
                <w:vertAlign w:val="subscript"/>
                <w14:textFill>
                  <w14:solidFill>
                    <w14:schemeClr w14:val="tx1"/>
                  </w14:solidFill>
                </w14:textFill>
              </w:rPr>
              <w:t>2</w:t>
            </w:r>
            <w:r>
              <w:rPr>
                <w:rFonts w:hint="eastAsia" w:eastAsia="宋体"/>
                <w:color w:val="000000" w:themeColor="text1"/>
                <w:sz w:val="21"/>
                <w:szCs w:val="21"/>
                <w:highlight w:val="none"/>
                <w14:textFill>
                  <w14:solidFill>
                    <w14:schemeClr w14:val="tx1"/>
                  </w14:solidFill>
                </w14:textFill>
              </w:rPr>
              <w:t>及NOx</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1根8m排气筒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废水</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多效蒸发器</w:t>
            </w:r>
          </w:p>
        </w:tc>
        <w:tc>
          <w:tcPr>
            <w:tcW w:w="3559" w:type="dxa"/>
            <w:gridSpan w:val="3"/>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冷凝水</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全部用于搅拌罐溶解补充水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职工生活</w:t>
            </w:r>
          </w:p>
        </w:tc>
        <w:tc>
          <w:tcPr>
            <w:tcW w:w="165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生活污水</w:t>
            </w:r>
          </w:p>
        </w:tc>
        <w:tc>
          <w:tcPr>
            <w:tcW w:w="1902"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COD、NH</w:t>
            </w:r>
            <w:r>
              <w:rPr>
                <w:rFonts w:hint="eastAsia" w:eastAsia="宋体"/>
                <w:color w:val="000000" w:themeColor="text1"/>
                <w:sz w:val="21"/>
                <w:szCs w:val="21"/>
                <w:highlight w:val="none"/>
                <w:vertAlign w:val="subscript"/>
                <w14:textFill>
                  <w14:solidFill>
                    <w14:schemeClr w14:val="tx1"/>
                  </w14:solidFill>
                </w14:textFill>
              </w:rPr>
              <w:t>3</w:t>
            </w:r>
            <w:r>
              <w:rPr>
                <w:rFonts w:hint="eastAsia" w:eastAsia="宋体"/>
                <w:color w:val="000000" w:themeColor="text1"/>
                <w:sz w:val="21"/>
                <w:szCs w:val="21"/>
                <w:highlight w:val="none"/>
                <w14:textFill>
                  <w14:solidFill>
                    <w14:schemeClr w14:val="tx1"/>
                  </w14:solidFill>
                </w14:textFill>
              </w:rPr>
              <w:t>-N</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依托现有污水处理设施处理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restart"/>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固废</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磁选</w:t>
            </w:r>
          </w:p>
        </w:tc>
        <w:tc>
          <w:tcPr>
            <w:tcW w:w="165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铁</w:t>
            </w:r>
          </w:p>
        </w:tc>
        <w:tc>
          <w:tcPr>
            <w:tcW w:w="1902"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一般固废</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定期外售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603" w:type="dxa"/>
            <w:vMerge w:val="continue"/>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袋式除尘器</w:t>
            </w:r>
          </w:p>
        </w:tc>
        <w:tc>
          <w:tcPr>
            <w:tcW w:w="165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粉尘</w:t>
            </w:r>
          </w:p>
        </w:tc>
        <w:tc>
          <w:tcPr>
            <w:tcW w:w="1902"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危险固废</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危废间暂存，定期交由有处理资质处理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8"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实验室</w:t>
            </w:r>
          </w:p>
        </w:tc>
        <w:tc>
          <w:tcPr>
            <w:tcW w:w="60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固废</w:t>
            </w:r>
          </w:p>
        </w:tc>
        <w:tc>
          <w:tcPr>
            <w:tcW w:w="1243"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在线监测</w:t>
            </w:r>
          </w:p>
        </w:tc>
        <w:tc>
          <w:tcPr>
            <w:tcW w:w="165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废液</w:t>
            </w:r>
          </w:p>
        </w:tc>
        <w:tc>
          <w:tcPr>
            <w:tcW w:w="1902" w:type="dxa"/>
            <w:gridSpan w:val="2"/>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危险废物</w:t>
            </w:r>
          </w:p>
        </w:tc>
        <w:tc>
          <w:tcPr>
            <w:tcW w:w="2767" w:type="dxa"/>
            <w:tcBorders>
              <w:tl2br w:val="nil"/>
              <w:tr2bl w:val="nil"/>
            </w:tcBorders>
            <w:vAlign w:val="center"/>
          </w:tcPr>
          <w:p>
            <w:pPr>
              <w:pStyle w:val="17"/>
              <w:widowControl w:val="0"/>
              <w:spacing w:line="240" w:lineRule="auto"/>
              <w:ind w:firstLine="0" w:firstLineChars="0"/>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危废间暂存，定期交由有处理资质处理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2" w:firstLineChars="200"/>
        <w:jc w:val="left"/>
        <w:textAlignment w:val="auto"/>
        <w:outlineLvl w:val="0"/>
        <w:rPr>
          <w:rFonts w:hint="eastAsia" w:cs="Times New Roman"/>
          <w:b/>
          <w:bCs/>
          <w:lang w:val="en-US" w:eastAsia="zh-CN"/>
        </w:rPr>
      </w:pPr>
      <w:r>
        <w:rPr>
          <w:rFonts w:hint="eastAsia" w:ascii="Times New Roman" w:hAnsi="Times New Roman" w:eastAsia="宋体" w:cs="Times New Roman"/>
          <w:b/>
          <w:bCs/>
          <w:kern w:val="2"/>
          <w:sz w:val="28"/>
          <w:lang w:val="en-US" w:eastAsia="zh-CN" w:bidi="ar-SA"/>
        </w:rPr>
        <w:t>5、</w:t>
      </w:r>
      <w:r>
        <w:rPr>
          <w:rFonts w:hint="eastAsia" w:cs="Times New Roman"/>
          <w:b/>
          <w:bCs/>
          <w:lang w:val="en-US" w:eastAsia="zh-CN"/>
        </w:rPr>
        <w:t>企业污染物执行标准</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sz w:val="24"/>
          <w:szCs w:val="24"/>
          <w:lang w:val="en-US" w:eastAsia="zh-CN"/>
        </w:rPr>
      </w:pPr>
      <w:r>
        <w:rPr>
          <w:rFonts w:hint="eastAsia"/>
          <w:sz w:val="24"/>
          <w:szCs w:val="24"/>
          <w:lang w:val="en-US" w:eastAsia="zh-CN"/>
        </w:rPr>
        <w:t>（1）大气污染物执行标准</w:t>
      </w:r>
    </w:p>
    <w:p>
      <w:pPr>
        <w:ind w:firstLine="480"/>
        <w:jc w:val="center"/>
        <w:rPr>
          <w:rFonts w:eastAsia="黑体"/>
          <w:color w:val="auto"/>
          <w:highlight w:val="none"/>
        </w:rPr>
      </w:pPr>
      <w:r>
        <w:rPr>
          <w:rFonts w:eastAsia="黑体"/>
          <w:color w:val="auto"/>
          <w:sz w:val="24"/>
          <w:szCs w:val="24"/>
          <w:highlight w:val="none"/>
        </w:rPr>
        <w:t>表</w:t>
      </w:r>
      <w:r>
        <w:rPr>
          <w:rFonts w:hint="eastAsia" w:eastAsia="黑体"/>
          <w:color w:val="auto"/>
          <w:sz w:val="24"/>
          <w:szCs w:val="24"/>
          <w:highlight w:val="none"/>
          <w:lang w:val="en-US" w:eastAsia="zh-CN"/>
        </w:rPr>
        <w:t xml:space="preserve">4 </w:t>
      </w:r>
      <w:r>
        <w:rPr>
          <w:rFonts w:hint="eastAsia" w:eastAsia="黑体"/>
          <w:color w:val="auto"/>
          <w:sz w:val="24"/>
          <w:szCs w:val="24"/>
          <w:highlight w:val="none"/>
        </w:rPr>
        <w:t>企业</w:t>
      </w:r>
      <w:r>
        <w:rPr>
          <w:rFonts w:eastAsia="黑体"/>
          <w:color w:val="auto"/>
          <w:sz w:val="24"/>
          <w:szCs w:val="24"/>
          <w:highlight w:val="none"/>
        </w:rPr>
        <w:t>废气污染物排放标准限值</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2046"/>
        <w:gridCol w:w="2604"/>
        <w:gridCol w:w="3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1"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b/>
                <w:bCs/>
                <w:color w:val="auto"/>
                <w:sz w:val="21"/>
                <w:szCs w:val="21"/>
                <w:highlight w:val="none"/>
                <w:lang w:val="en-US" w:eastAsia="zh-CN"/>
              </w:rPr>
              <w:t>产生单元</w:t>
            </w:r>
          </w:p>
        </w:tc>
        <w:tc>
          <w:tcPr>
            <w:tcW w:w="2046" w:type="dxa"/>
            <w:tcBorders>
              <w:tl2br w:val="nil"/>
              <w:tr2bl w:val="nil"/>
            </w:tcBorders>
            <w:vAlign w:val="center"/>
          </w:tcPr>
          <w:p>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b/>
                <w:bCs/>
                <w:color w:val="auto"/>
                <w:sz w:val="21"/>
                <w:szCs w:val="21"/>
                <w:highlight w:val="none"/>
                <w:lang w:val="en-US" w:eastAsia="zh-CN"/>
              </w:rPr>
              <w:t>产生部位</w:t>
            </w:r>
          </w:p>
        </w:tc>
        <w:tc>
          <w:tcPr>
            <w:tcW w:w="2604" w:type="dxa"/>
            <w:tcBorders>
              <w:tl2br w:val="nil"/>
              <w:tr2bl w:val="nil"/>
            </w:tcBorders>
            <w:vAlign w:val="center"/>
          </w:tcPr>
          <w:p>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污染物</w:t>
            </w:r>
          </w:p>
        </w:tc>
        <w:tc>
          <w:tcPr>
            <w:tcW w:w="3405"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b/>
                <w:bCs/>
                <w:color w:val="auto"/>
                <w:sz w:val="21"/>
                <w:szCs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restart"/>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eastAsia="宋体"/>
                <w:color w:val="000000" w:themeColor="text1"/>
                <w:sz w:val="21"/>
                <w:szCs w:val="21"/>
                <w:highlight w:val="none"/>
                <w14:textFill>
                  <w14:solidFill>
                    <w14:schemeClr w14:val="tx1"/>
                  </w14:solidFill>
                </w14:textFill>
              </w:rPr>
              <w:t>高精度铝箔生产单元</w:t>
            </w:r>
          </w:p>
        </w:tc>
        <w:tc>
          <w:tcPr>
            <w:tcW w:w="2046"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冷、箔轧机</w:t>
            </w: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非甲烷总烃</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《大气污染物综合排放标准》(GB16297-1996)、豫环攻坚办[2017]162号文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p>
        </w:tc>
        <w:tc>
          <w:tcPr>
            <w:tcW w:w="2046"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燃气退火炉</w:t>
            </w: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烟尘、SO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、NOx及非甲烷总烃</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color w:val="auto"/>
                <w:sz w:val="21"/>
                <w:szCs w:val="21"/>
                <w:highlight w:val="none"/>
              </w:rPr>
              <w:t>河南省《工业炉窑大气污染物排放标准》（DB41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1066-20</w:t>
            </w: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豫环攻坚办[2017]162号文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restart"/>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废铝处理单元</w:t>
            </w:r>
          </w:p>
        </w:tc>
        <w:tc>
          <w:tcPr>
            <w:tcW w:w="2046"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破碎筛分</w:t>
            </w:r>
          </w:p>
        </w:tc>
        <w:tc>
          <w:tcPr>
            <w:tcW w:w="2604"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w:t>
            </w:r>
          </w:p>
        </w:tc>
        <w:tc>
          <w:tcPr>
            <w:tcW w:w="3405" w:type="dxa"/>
            <w:vMerge w:val="restart"/>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再生铜、铝、铅、锌工业污染物排放标准GB 31574-2015</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continue"/>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046"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中频电炉</w:t>
            </w:r>
          </w:p>
        </w:tc>
        <w:tc>
          <w:tcPr>
            <w:tcW w:w="2604"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lang w:val="en-US" w:eastAsia="zh-CN"/>
                <w14:textFill>
                  <w14:solidFill>
                    <w14:schemeClr w14:val="tx1"/>
                  </w14:solidFill>
                </w14:textFill>
              </w:rPr>
              <w:t>烟尘，主</w:t>
            </w:r>
            <w:r>
              <w:rPr>
                <w:rFonts w:hint="eastAsia" w:eastAsia="宋体"/>
                <w:color w:val="000000" w:themeColor="text1"/>
                <w:sz w:val="21"/>
                <w:szCs w:val="21"/>
                <w:highlight w:val="none"/>
                <w14:textFill>
                  <w14:solidFill>
                    <w14:schemeClr w14:val="tx1"/>
                  </w14:solidFill>
                </w14:textFill>
              </w:rPr>
              <w:t>要为铝氧化物</w:t>
            </w:r>
          </w:p>
        </w:tc>
        <w:tc>
          <w:tcPr>
            <w:tcW w:w="3405" w:type="dxa"/>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continue"/>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046"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回转炉</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双室炉</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保温炉熔铝废气</w:t>
            </w:r>
          </w:p>
        </w:tc>
        <w:tc>
          <w:tcPr>
            <w:tcW w:w="2604"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烟尘、SO</w:t>
            </w:r>
            <w:r>
              <w:rPr>
                <w:rFonts w:hint="eastAsia" w:eastAsia="宋体"/>
                <w:color w:val="000000" w:themeColor="text1"/>
                <w:sz w:val="21"/>
                <w:szCs w:val="21"/>
                <w:highlight w:val="none"/>
                <w:vertAlign w:val="subscript"/>
                <w14:textFill>
                  <w14:solidFill>
                    <w14:schemeClr w14:val="tx1"/>
                  </w14:solidFill>
                </w14:textFill>
              </w:rPr>
              <w:t>2</w:t>
            </w:r>
            <w:r>
              <w:rPr>
                <w:rFonts w:hint="eastAsia" w:eastAsia="宋体"/>
                <w:color w:val="000000" w:themeColor="text1"/>
                <w:sz w:val="21"/>
                <w:szCs w:val="21"/>
                <w:highlight w:val="none"/>
                <w14:textFill>
                  <w14:solidFill>
                    <w14:schemeClr w14:val="tx1"/>
                  </w14:solidFill>
                </w14:textFill>
              </w:rPr>
              <w:t>、NO</w:t>
            </w:r>
            <w:r>
              <w:rPr>
                <w:rFonts w:hint="eastAsia" w:eastAsia="宋体"/>
                <w:color w:val="000000" w:themeColor="text1"/>
                <w:sz w:val="21"/>
                <w:szCs w:val="21"/>
                <w:highlight w:val="none"/>
                <w:vertAlign w:val="subscript"/>
                <w14:textFill>
                  <w14:solidFill>
                    <w14:schemeClr w14:val="tx1"/>
                  </w14:solidFill>
                </w14:textFill>
              </w:rPr>
              <w:t>X</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二噁英及HCl</w:t>
            </w:r>
          </w:p>
        </w:tc>
        <w:tc>
          <w:tcPr>
            <w:tcW w:w="3405" w:type="dxa"/>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continue"/>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046"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铝灰处理机</w:t>
            </w:r>
          </w:p>
        </w:tc>
        <w:tc>
          <w:tcPr>
            <w:tcW w:w="2604"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lang w:val="en-US" w:eastAsia="zh-CN"/>
                <w14:textFill>
                  <w14:solidFill>
                    <w14:schemeClr w14:val="tx1"/>
                  </w14:solidFill>
                </w14:textFill>
              </w:rPr>
              <w:t>烟尘，主</w:t>
            </w:r>
            <w:r>
              <w:rPr>
                <w:rFonts w:hint="eastAsia" w:eastAsia="宋体"/>
                <w:color w:val="000000" w:themeColor="text1"/>
                <w:sz w:val="21"/>
                <w:szCs w:val="21"/>
                <w:highlight w:val="none"/>
                <w14:textFill>
                  <w14:solidFill>
                    <w14:schemeClr w14:val="tx1"/>
                  </w14:solidFill>
                </w14:textFill>
              </w:rPr>
              <w:t>要为铝氧化物</w:t>
            </w:r>
          </w:p>
        </w:tc>
        <w:tc>
          <w:tcPr>
            <w:tcW w:w="3405" w:type="dxa"/>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restart"/>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铝灰处理单元</w:t>
            </w:r>
          </w:p>
        </w:tc>
        <w:tc>
          <w:tcPr>
            <w:tcW w:w="2046"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破碎、球磨及筛分</w:t>
            </w:r>
          </w:p>
        </w:tc>
        <w:tc>
          <w:tcPr>
            <w:tcW w:w="2604"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颗粒物</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c>
          <w:tcPr>
            <w:tcW w:w="2046"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eastAsia="宋体"/>
                <w:color w:val="000000" w:themeColor="text1"/>
                <w:sz w:val="21"/>
                <w:szCs w:val="21"/>
                <w:highlight w:val="none"/>
                <w14:textFill>
                  <w14:solidFill>
                    <w14:schemeClr w14:val="tx1"/>
                  </w14:solidFill>
                </w14:textFill>
              </w:rPr>
              <w:t>溶解浸出</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14:textFill>
                  <w14:solidFill>
                    <w14:schemeClr w14:val="tx1"/>
                  </w14:solidFill>
                </w14:textFill>
              </w:rPr>
              <w:t>多效蒸发器</w:t>
            </w: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氨、氢</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恶臭污染物排放标准GB 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c>
          <w:tcPr>
            <w:tcW w:w="2046"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eastAsia="宋体"/>
                <w:color w:val="000000" w:themeColor="text1"/>
                <w:sz w:val="21"/>
                <w:szCs w:val="21"/>
                <w:highlight w:val="none"/>
                <w14:textFill>
                  <w14:solidFill>
                    <w14:schemeClr w14:val="tx1"/>
                  </w14:solidFill>
                </w14:textFill>
              </w:rPr>
              <w:t>燃气热风烘炉</w:t>
            </w: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烟尘、SO</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14:textFill>
                  <w14:solidFill>
                    <w14:schemeClr w14:val="tx1"/>
                  </w14:solidFill>
                </w14:textFill>
              </w:rPr>
              <w:t>及NOx</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color w:val="auto"/>
                <w:sz w:val="21"/>
                <w:szCs w:val="21"/>
                <w:highlight w:val="none"/>
              </w:rPr>
              <w:t>河南省《工业炉窑大气污染物排放标准》（DB41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1066-20</w:t>
            </w: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c>
          <w:tcPr>
            <w:tcW w:w="2046"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燃气锅炉</w:t>
            </w: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烟尘、SO</w:t>
            </w:r>
            <w:r>
              <w:rPr>
                <w:rFonts w:hint="eastAsia"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14:textFill>
                  <w14:solidFill>
                    <w14:schemeClr w14:val="tx1"/>
                  </w14:solidFill>
                </w14:textFill>
              </w:rPr>
              <w:t>及NOx</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《锅炉大气污染物排放标准》（GB13271-2014）、（郑环攻坚办[2019]108号文）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277" w:type="dxa"/>
            <w:gridSpan w:val="2"/>
            <w:vMerge w:val="restart"/>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highlight w:val="none"/>
                <w14:textFill>
                  <w14:solidFill>
                    <w14:schemeClr w14:val="tx1"/>
                  </w14:solidFill>
                </w14:textFill>
              </w:rPr>
            </w:pPr>
            <w:r>
              <w:rPr>
                <w:rFonts w:hint="eastAsia"/>
                <w:color w:val="auto"/>
                <w:sz w:val="21"/>
                <w:szCs w:val="21"/>
                <w:highlight w:val="none"/>
                <w:lang w:val="en-US" w:eastAsia="zh-CN"/>
              </w:rPr>
              <w:t>厂界</w:t>
            </w: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颗粒物、非甲烷总烃</w:t>
            </w:r>
          </w:p>
        </w:tc>
        <w:tc>
          <w:tcPr>
            <w:tcW w:w="3405" w:type="dxa"/>
            <w:tcBorders>
              <w:tl2br w:val="nil"/>
              <w:tr2bl w:val="nil"/>
            </w:tcBorders>
            <w:vAlign w:val="center"/>
          </w:tcPr>
          <w:p>
            <w:pPr>
              <w:pStyle w:val="5"/>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《大气污染物综合排放标准》(GB16297-1996)</w:t>
            </w:r>
            <w:r>
              <w:rPr>
                <w:rFonts w:hint="eastAsia"/>
                <w:color w:val="auto"/>
                <w:sz w:val="21"/>
                <w:szCs w:val="21"/>
                <w:highlight w:val="none"/>
                <w:lang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olor w:val="auto"/>
                <w:sz w:val="21"/>
                <w:szCs w:val="21"/>
                <w:highlight w:val="none"/>
              </w:rPr>
              <w:t>豫环攻坚办[2017]162号文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277" w:type="dxa"/>
            <w:gridSpan w:val="2"/>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氨</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rPr>
            </w:pPr>
            <w:r>
              <w:rPr>
                <w:rFonts w:hint="eastAsia" w:ascii="Times New Roman" w:hAnsi="Times New Roman" w:eastAsia="宋体" w:cs="Times New Roman"/>
                <w:kern w:val="2"/>
                <w:sz w:val="21"/>
                <w:szCs w:val="21"/>
                <w:vertAlign w:val="baseline"/>
                <w:lang w:val="en-US" w:eastAsia="zh-CN" w:bidi="ar-SA"/>
              </w:rPr>
              <w:t>恶臭污染物排放标准GB 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277" w:type="dxa"/>
            <w:gridSpan w:val="2"/>
            <w:vMerge w:val="continue"/>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p>
        </w:tc>
        <w:tc>
          <w:tcPr>
            <w:tcW w:w="2604"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铅、镉、砷及其化合物</w:t>
            </w:r>
          </w:p>
        </w:tc>
        <w:tc>
          <w:tcPr>
            <w:tcW w:w="3405" w:type="dxa"/>
            <w:tcBorders>
              <w:tl2br w:val="nil"/>
              <w:tr2bl w:val="nil"/>
            </w:tcBorders>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再生铜、铝、铅、锌工业污染物排放标准GB 31574-2015</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（2）废水污染物执行标准</w:t>
      </w:r>
    </w:p>
    <w:p>
      <w:pPr>
        <w:pStyle w:val="16"/>
        <w:ind w:firstLine="0" w:firstLineChars="0"/>
        <w:jc w:val="center"/>
        <w:rPr>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val="en-US" w:eastAsia="zh-CN"/>
        </w:rPr>
        <w:t xml:space="preserve">5 </w:t>
      </w:r>
      <w:r>
        <w:rPr>
          <w:rFonts w:hint="eastAsia" w:eastAsia="黑体"/>
          <w:color w:val="auto"/>
          <w:sz w:val="24"/>
          <w:szCs w:val="24"/>
          <w:highlight w:val="none"/>
        </w:rPr>
        <w:t>企业</w:t>
      </w:r>
      <w:r>
        <w:rPr>
          <w:rFonts w:eastAsia="黑体"/>
          <w:color w:val="auto"/>
          <w:sz w:val="24"/>
          <w:szCs w:val="24"/>
          <w:highlight w:val="none"/>
        </w:rPr>
        <w:t>废水污染物排放限值单位：mg/L；pH除外</w:t>
      </w:r>
    </w:p>
    <w:tbl>
      <w:tblPr>
        <w:tblStyle w:val="13"/>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3275"/>
        <w:gridCol w:w="32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61" w:type="pc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产物部位</w:t>
            </w:r>
          </w:p>
        </w:tc>
        <w:tc>
          <w:tcPr>
            <w:tcW w:w="1764" w:type="pc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b/>
                <w:bCs/>
                <w:color w:val="auto"/>
                <w:sz w:val="21"/>
                <w:szCs w:val="21"/>
                <w:highlight w:val="none"/>
              </w:rPr>
              <w:t>污染物</w:t>
            </w:r>
          </w:p>
        </w:tc>
        <w:tc>
          <w:tcPr>
            <w:tcW w:w="1774" w:type="pc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61" w:type="pct"/>
            <w:vMerge w:val="restar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生活办公污水</w:t>
            </w:r>
          </w:p>
        </w:tc>
        <w:tc>
          <w:tcPr>
            <w:tcW w:w="1764" w:type="pc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化学需氧量</w:t>
            </w:r>
            <w:r>
              <w:rPr>
                <w:rFonts w:hint="eastAsia"/>
                <w:color w:val="auto"/>
                <w:sz w:val="21"/>
                <w:szCs w:val="21"/>
                <w:highlight w:val="none"/>
                <w:lang w:eastAsia="zh-CN"/>
              </w:rPr>
              <w:t>、</w:t>
            </w:r>
            <w:r>
              <w:rPr>
                <w:rFonts w:hint="eastAsia"/>
                <w:color w:val="auto"/>
                <w:sz w:val="21"/>
                <w:szCs w:val="21"/>
                <w:highlight w:val="none"/>
              </w:rPr>
              <w:t>氨氮</w:t>
            </w:r>
            <w:r>
              <w:rPr>
                <w:rFonts w:hint="eastAsia"/>
                <w:color w:val="auto"/>
                <w:sz w:val="21"/>
                <w:szCs w:val="21"/>
                <w:highlight w:val="none"/>
                <w:lang w:val="en-US" w:eastAsia="zh-CN"/>
              </w:rPr>
              <w:t>等</w:t>
            </w:r>
          </w:p>
        </w:tc>
        <w:tc>
          <w:tcPr>
            <w:tcW w:w="1774" w:type="pct"/>
            <w:vMerge w:val="restar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城镇污水处理厂污染物排放标准GB 18918-2002</w:t>
            </w:r>
            <w:r>
              <w:rPr>
                <w:rFonts w:hint="eastAsia"/>
                <w:color w:val="auto"/>
                <w:sz w:val="21"/>
                <w:szCs w:val="21"/>
                <w:highlight w:val="none"/>
                <w:lang w:eastAsia="zh-CN"/>
              </w:rPr>
              <w:t>、</w:t>
            </w:r>
            <w:r>
              <w:rPr>
                <w:rFonts w:hint="default"/>
                <w:color w:val="auto"/>
                <w:sz w:val="21"/>
                <w:szCs w:val="21"/>
                <w:highlight w:val="none"/>
              </w:rPr>
              <w:t>《再生铜、铝、铅、锌工业污染物排放标准》（GB 31574-2015）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61" w:type="pc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eastAsia="宋体"/>
                <w:color w:val="000000" w:themeColor="text1"/>
                <w:sz w:val="21"/>
                <w:szCs w:val="21"/>
                <w:highlight w:val="none"/>
                <w14:textFill>
                  <w14:solidFill>
                    <w14:schemeClr w14:val="tx1"/>
                  </w14:solidFill>
                </w14:textFill>
              </w:rPr>
              <w:t>开式循环冷却系统</w:t>
            </w:r>
          </w:p>
        </w:tc>
        <w:tc>
          <w:tcPr>
            <w:tcW w:w="1764" w:type="pct"/>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000000" w:themeColor="text1"/>
                <w:sz w:val="21"/>
                <w:szCs w:val="21"/>
                <w:highlight w:val="none"/>
                <w14:textFill>
                  <w14:solidFill>
                    <w14:schemeClr w14:val="tx1"/>
                  </w14:solidFill>
                </w14:textFill>
              </w:rPr>
              <w:t>COD、SS</w:t>
            </w:r>
          </w:p>
        </w:tc>
        <w:tc>
          <w:tcPr>
            <w:tcW w:w="1774" w:type="pct"/>
            <w:vMerge w:val="continue"/>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61" w:type="pct"/>
            <w:tcBorders>
              <w:tl2br w:val="nil"/>
              <w:tr2bl w:val="nil"/>
            </w:tcBorders>
            <w:vAlign w:val="center"/>
          </w:tcPr>
          <w:p>
            <w:pPr>
              <w:pStyle w:val="17"/>
              <w:widowControl w:val="0"/>
              <w:spacing w:line="240" w:lineRule="auto"/>
              <w:ind w:firstLine="0" w:firstLineChars="0"/>
              <w:rPr>
                <w:rFonts w:hint="eastAsia"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多效蒸发器冷凝水</w:t>
            </w:r>
          </w:p>
        </w:tc>
        <w:tc>
          <w:tcPr>
            <w:tcW w:w="1764" w:type="pct"/>
            <w:tcBorders>
              <w:tl2br w:val="nil"/>
              <w:tr2bl w:val="nil"/>
            </w:tcBorders>
            <w:vAlign w:val="center"/>
          </w:tcPr>
          <w:p>
            <w:pPr>
              <w:pStyle w:val="17"/>
              <w:widowControl w:val="0"/>
              <w:spacing w:line="240" w:lineRule="auto"/>
              <w:ind w:firstLine="0" w:firstLineChars="0"/>
              <w:rPr>
                <w:rFonts w:hint="eastAsia"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COD、SS</w:t>
            </w:r>
          </w:p>
        </w:tc>
        <w:tc>
          <w:tcPr>
            <w:tcW w:w="1774" w:type="pct"/>
            <w:vMerge w:val="continue"/>
            <w:tcBorders>
              <w:tl2br w:val="nil"/>
              <w:tr2bl w:val="nil"/>
            </w:tcBorders>
            <w:vAlign w:val="center"/>
          </w:tcPr>
          <w:p>
            <w:pPr>
              <w:pStyle w:val="5"/>
              <w:keepNext w:val="0"/>
              <w:keepLines w:val="0"/>
              <w:suppressLineNumbers w:val="0"/>
              <w:tabs>
                <w:tab w:val="left" w:pos="2160"/>
              </w:tabs>
              <w:adjustRightInd w:val="0"/>
              <w:snapToGrid w:val="0"/>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（3）噪声执行标准</w:t>
      </w:r>
    </w:p>
    <w:p>
      <w:pPr>
        <w:ind w:left="0" w:leftChars="0" w:firstLine="0" w:firstLineChars="0"/>
        <w:jc w:val="center"/>
        <w:rPr>
          <w:rFonts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eastAsia="黑体" w:cs="Times New Roman"/>
          <w:color w:val="auto"/>
          <w:kern w:val="2"/>
          <w:sz w:val="24"/>
          <w:szCs w:val="24"/>
          <w:highlight w:val="none"/>
          <w:lang w:val="en-US" w:eastAsia="zh-CN" w:bidi="ar-SA"/>
        </w:rPr>
        <w:t xml:space="preserve">6 </w:t>
      </w:r>
      <w:r>
        <w:rPr>
          <w:rFonts w:hint="default" w:ascii="Times New Roman" w:hAnsi="Times New Roman" w:eastAsia="黑体" w:cs="Times New Roman"/>
          <w:color w:val="auto"/>
          <w:kern w:val="2"/>
          <w:sz w:val="24"/>
          <w:szCs w:val="24"/>
          <w:highlight w:val="none"/>
          <w:lang w:val="en-US" w:eastAsia="zh-CN" w:bidi="ar-SA"/>
        </w:rPr>
        <w:t>厂界噪声排放标准限值</w:t>
      </w:r>
      <w:r>
        <w:rPr>
          <w:rFonts w:hint="eastAsia" w:ascii="Times New Roman" w:hAnsi="Times New Roman" w:eastAsia="黑体" w:cs="Times New Roman"/>
          <w:color w:val="auto"/>
          <w:kern w:val="2"/>
          <w:sz w:val="24"/>
          <w:szCs w:val="24"/>
          <w:highlight w:val="none"/>
          <w:lang w:val="en-US" w:eastAsia="zh-CN" w:bidi="ar-SA"/>
        </w:rPr>
        <w:t xml:space="preserve"> 单位：dB（A）</w:t>
      </w:r>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5330"/>
        <w:gridCol w:w="927"/>
        <w:gridCol w:w="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tcPr>
          <w:p>
            <w:pPr>
              <w:spacing w:line="240" w:lineRule="auto"/>
              <w:ind w:firstLine="0" w:firstLineChars="0"/>
              <w:jc w:val="center"/>
              <w:rPr>
                <w:b/>
                <w:bCs/>
              </w:rPr>
            </w:pPr>
            <w:r>
              <w:rPr>
                <w:rFonts w:hint="eastAsia"/>
                <w:b/>
                <w:bCs/>
                <w:sz w:val="21"/>
                <w:szCs w:val="21"/>
              </w:rPr>
              <w:t>适用点位</w:t>
            </w:r>
          </w:p>
        </w:tc>
        <w:tc>
          <w:tcPr>
            <w:tcW w:w="5330" w:type="dxa"/>
            <w:tcBorders>
              <w:tl2br w:val="nil"/>
              <w:tr2bl w:val="nil"/>
            </w:tcBorders>
          </w:tcPr>
          <w:p>
            <w:pPr>
              <w:spacing w:line="240" w:lineRule="auto"/>
              <w:ind w:firstLine="0" w:firstLineChars="0"/>
              <w:jc w:val="center"/>
              <w:rPr>
                <w:b/>
                <w:bCs/>
              </w:rPr>
            </w:pPr>
            <w:r>
              <w:rPr>
                <w:rFonts w:hint="eastAsia"/>
                <w:b/>
                <w:bCs/>
                <w:sz w:val="21"/>
                <w:szCs w:val="21"/>
              </w:rPr>
              <w:t>执行标准</w:t>
            </w:r>
          </w:p>
        </w:tc>
        <w:tc>
          <w:tcPr>
            <w:tcW w:w="927" w:type="dxa"/>
            <w:tcBorders>
              <w:tl2br w:val="nil"/>
              <w:tr2bl w:val="nil"/>
            </w:tcBorders>
          </w:tcPr>
          <w:p>
            <w:pPr>
              <w:spacing w:line="240" w:lineRule="auto"/>
              <w:ind w:firstLine="0" w:firstLineChars="0"/>
              <w:jc w:val="center"/>
              <w:rPr>
                <w:b/>
                <w:bCs/>
              </w:rPr>
            </w:pPr>
            <w:r>
              <w:rPr>
                <w:rFonts w:hint="eastAsia"/>
                <w:b/>
                <w:bCs/>
                <w:sz w:val="21"/>
                <w:szCs w:val="21"/>
              </w:rPr>
              <w:t>昼间</w:t>
            </w:r>
          </w:p>
        </w:tc>
        <w:tc>
          <w:tcPr>
            <w:tcW w:w="770" w:type="dxa"/>
            <w:tcBorders>
              <w:tl2br w:val="nil"/>
              <w:tr2bl w:val="nil"/>
            </w:tcBorders>
          </w:tcPr>
          <w:p>
            <w:pPr>
              <w:spacing w:line="240" w:lineRule="auto"/>
              <w:ind w:firstLine="0" w:firstLineChars="0"/>
              <w:jc w:val="center"/>
              <w:rPr>
                <w:b/>
                <w:bCs/>
              </w:rPr>
            </w:pPr>
            <w:r>
              <w:rPr>
                <w:rFonts w:hint="eastAsia"/>
                <w:b/>
                <w:bCs/>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tcPr>
          <w:p>
            <w:pPr>
              <w:spacing w:beforeLines="50" w:line="240" w:lineRule="auto"/>
              <w:ind w:firstLine="0" w:firstLineChars="0"/>
              <w:jc w:val="center"/>
            </w:pPr>
            <w:r>
              <w:rPr>
                <w:rFonts w:hint="eastAsia"/>
                <w:sz w:val="21"/>
                <w:szCs w:val="21"/>
              </w:rPr>
              <w:t>东、西、南、北厂界</w:t>
            </w:r>
          </w:p>
        </w:tc>
        <w:tc>
          <w:tcPr>
            <w:tcW w:w="5330" w:type="dxa"/>
            <w:tcBorders>
              <w:tl2br w:val="nil"/>
              <w:tr2bl w:val="nil"/>
            </w:tcBorders>
            <w:vAlign w:val="center"/>
          </w:tcPr>
          <w:p>
            <w:pPr>
              <w:spacing w:line="240" w:lineRule="auto"/>
              <w:ind w:firstLine="0" w:firstLineChars="0"/>
            </w:pPr>
            <w:r>
              <w:rPr>
                <w:sz w:val="21"/>
                <w:szCs w:val="21"/>
              </w:rPr>
              <w:t>《工业企业厂界环境噪声排放标准》(GB12348-2008)</w:t>
            </w:r>
            <w:r>
              <w:rPr>
                <w:rFonts w:hint="eastAsia"/>
                <w:sz w:val="21"/>
                <w:szCs w:val="21"/>
                <w:lang w:val="en-US" w:eastAsia="zh-CN"/>
              </w:rPr>
              <w:t>3</w:t>
            </w:r>
            <w:r>
              <w:rPr>
                <w:sz w:val="21"/>
                <w:szCs w:val="21"/>
              </w:rPr>
              <w:t>类标准</w:t>
            </w:r>
          </w:p>
        </w:tc>
        <w:tc>
          <w:tcPr>
            <w:tcW w:w="927"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rPr>
              <w:t>6</w:t>
            </w:r>
            <w:r>
              <w:rPr>
                <w:rFonts w:hint="eastAsia" w:cs="Times New Roman"/>
                <w:sz w:val="21"/>
                <w:szCs w:val="21"/>
                <w:lang w:val="en-US" w:eastAsia="zh-CN"/>
              </w:rPr>
              <w:t>5</w:t>
            </w:r>
          </w:p>
        </w:tc>
        <w:tc>
          <w:tcPr>
            <w:tcW w:w="770"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rPr>
              <w:t>5</w:t>
            </w:r>
            <w:r>
              <w:rPr>
                <w:rFonts w:hint="eastAsia" w:cs="Times New Roman"/>
                <w:sz w:val="21"/>
                <w:szCs w:val="21"/>
                <w:lang w:val="en-US" w:eastAsia="zh-CN"/>
              </w:rPr>
              <w:t>5</w:t>
            </w:r>
          </w:p>
        </w:tc>
      </w:tr>
    </w:tbl>
    <w:p>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（4）固体废物执行标准</w:t>
      </w:r>
    </w:p>
    <w:p>
      <w:pPr>
        <w:pStyle w:val="5"/>
        <w:numPr>
          <w:ilvl w:val="0"/>
          <w:numId w:val="0"/>
        </w:numPr>
        <w:ind w:firstLine="480" w:firstLineChars="200"/>
        <w:rPr>
          <w:rFonts w:hint="eastAsia" w:ascii="Times New Roman" w:hAnsi="Times New Roman" w:eastAsia="宋体" w:cs="Times New Roman"/>
          <w:kern w:val="2"/>
          <w:sz w:val="24"/>
          <w:szCs w:val="24"/>
          <w:lang w:val="en-US" w:eastAsia="zh-CN" w:bidi="ar-SA"/>
        </w:rPr>
      </w:pPr>
      <w:r>
        <w:rPr>
          <w:sz w:val="24"/>
          <w:szCs w:val="24"/>
        </w:rPr>
        <w:t>一般固废执行</w:t>
      </w:r>
      <w:r>
        <w:rPr>
          <w:rFonts w:hint="eastAsia"/>
          <w:sz w:val="24"/>
          <w:szCs w:val="24"/>
          <w:lang w:eastAsia="zh-CN"/>
        </w:rPr>
        <w:t>《</w:t>
      </w:r>
      <w:r>
        <w:rPr>
          <w:rFonts w:hint="eastAsia"/>
          <w:sz w:val="24"/>
          <w:szCs w:val="24"/>
          <w:lang w:val="en-US" w:eastAsia="zh-CN"/>
        </w:rPr>
        <w:t>一般工业固体废物贮存和填埋污染控制标准</w:t>
      </w:r>
      <w:r>
        <w:rPr>
          <w:rFonts w:hint="eastAsia"/>
          <w:sz w:val="24"/>
          <w:szCs w:val="24"/>
          <w:lang w:eastAsia="zh-CN"/>
        </w:rPr>
        <w:t>》（</w:t>
      </w:r>
      <w:r>
        <w:rPr>
          <w:rFonts w:hint="eastAsia"/>
          <w:sz w:val="24"/>
          <w:szCs w:val="24"/>
          <w:lang w:val="en-US" w:eastAsia="zh-CN"/>
        </w:rPr>
        <w:t>GB 18599-2020</w:t>
      </w:r>
      <w:r>
        <w:rPr>
          <w:rFonts w:hint="eastAsia"/>
          <w:sz w:val="24"/>
          <w:szCs w:val="24"/>
          <w:lang w:eastAsia="zh-CN"/>
        </w:rPr>
        <w:t>）（</w:t>
      </w:r>
      <w:r>
        <w:rPr>
          <w:rFonts w:hint="eastAsia"/>
          <w:sz w:val="24"/>
          <w:szCs w:val="24"/>
          <w:lang w:val="en-US" w:eastAsia="zh-CN"/>
        </w:rPr>
        <w:t>2021-07-01 实施</w:t>
      </w:r>
      <w:r>
        <w:rPr>
          <w:rFonts w:hint="eastAsia"/>
          <w:sz w:val="24"/>
          <w:szCs w:val="24"/>
          <w:lang w:eastAsia="zh-CN"/>
        </w:rPr>
        <w:t>）</w:t>
      </w:r>
      <w:r>
        <w:rPr>
          <w:sz w:val="24"/>
          <w:szCs w:val="24"/>
        </w:rPr>
        <w:t>，危险废物执行《危险废物贮存污染控制标准》</w:t>
      </w:r>
      <w:r>
        <w:rPr>
          <w:rFonts w:hint="eastAsia" w:ascii="Times New Roman" w:hAnsi="Times New Roman" w:eastAsia="宋体" w:cs="Times New Roman"/>
          <w:kern w:val="2"/>
          <w:sz w:val="24"/>
          <w:szCs w:val="24"/>
          <w:lang w:val="en-US" w:eastAsia="zh-CN" w:bidi="ar-SA"/>
        </w:rPr>
        <w:t>GB18597-2023（2023年7月1日）。</w:t>
      </w:r>
    </w:p>
    <w:p>
      <w:pPr>
        <w:pStyle w:val="5"/>
        <w:numPr>
          <w:ilvl w:val="0"/>
          <w:numId w:val="0"/>
        </w:numPr>
        <w:ind w:firstLine="562" w:firstLineChars="200"/>
        <w:outlineLvl w:val="0"/>
        <w:rPr>
          <w:rFonts w:hint="default" w:ascii="Times New Roman" w:hAnsi="Times New Roman" w:eastAsia="宋体" w:cs="Times New Roman"/>
          <w:b/>
          <w:bCs/>
          <w:kern w:val="2"/>
          <w:sz w:val="28"/>
          <w:lang w:val="en-US" w:eastAsia="zh-CN" w:bidi="ar-SA"/>
        </w:rPr>
      </w:pPr>
      <w:r>
        <w:rPr>
          <w:rFonts w:hint="eastAsia" w:ascii="Times New Roman" w:hAnsi="Times New Roman" w:eastAsia="宋体" w:cs="Times New Roman"/>
          <w:b/>
          <w:bCs/>
          <w:kern w:val="2"/>
          <w:sz w:val="28"/>
          <w:lang w:val="en-US" w:eastAsia="zh-CN" w:bidi="ar-SA"/>
        </w:rPr>
        <w:t>6、企业主要污染物排放情况</w:t>
      </w:r>
    </w:p>
    <w:p>
      <w:pPr>
        <w:bidi w:val="0"/>
        <w:outlineLvl w:val="1"/>
        <w:rPr>
          <w:rFonts w:hint="eastAsia"/>
          <w:b/>
          <w:bCs/>
          <w:sz w:val="24"/>
          <w:szCs w:val="24"/>
          <w:lang w:val="en-US" w:eastAsia="zh-CN"/>
        </w:rPr>
      </w:pPr>
      <w:r>
        <w:rPr>
          <w:rFonts w:hint="eastAsia"/>
          <w:b/>
          <w:bCs/>
          <w:sz w:val="24"/>
          <w:szCs w:val="24"/>
          <w:lang w:val="en-US" w:eastAsia="zh-CN"/>
        </w:rPr>
        <w:t>6.1 废气检测报告</w:t>
      </w:r>
    </w:p>
    <w:p>
      <w:pPr>
        <w:ind w:left="0" w:leftChars="0" w:firstLine="0" w:firstLineChars="0"/>
        <w:jc w:val="left"/>
        <w:outlineLvl w:val="2"/>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有组织</w:t>
      </w:r>
      <w:r>
        <w:rPr>
          <w:rFonts w:hint="default" w:ascii="Times New Roman" w:hAnsi="Times New Roman" w:eastAsia="宋体" w:cs="Times New Roman"/>
          <w:color w:val="auto"/>
          <w:kern w:val="2"/>
          <w:sz w:val="24"/>
          <w:szCs w:val="24"/>
          <w:highlight w:val="none"/>
          <w:lang w:val="en-US" w:eastAsia="zh-CN" w:bidi="ar-SA"/>
        </w:rPr>
        <w:t>检测结果</w:t>
      </w:r>
    </w:p>
    <w:p>
      <w:pPr>
        <w:ind w:left="0" w:leftChars="0" w:firstLine="0" w:firstLineChars="0"/>
        <w:jc w:val="center"/>
        <w:outlineLvl w:val="9"/>
        <w:rPr>
          <w:rFonts w:hint="eastAsia" w:ascii="Times New Roman" w:hAnsi="Times New Roman" w:eastAsia="黑体" w:cs="Times New Roman"/>
          <w:color w:val="auto"/>
          <w:kern w:val="2"/>
          <w:sz w:val="24"/>
          <w:szCs w:val="24"/>
          <w:highlight w:val="none"/>
          <w:lang w:val="en-US" w:eastAsia="zh-CN" w:bidi="ar-SA"/>
        </w:rPr>
      </w:pPr>
    </w:p>
    <w:p>
      <w:pPr>
        <w:outlineLvl w:val="9"/>
        <w:rPr>
          <w:rFonts w:hint="eastAsia" w:ascii="Times New Roman" w:hAnsi="Times New Roman" w:eastAsia="黑体" w:cs="Times New Roman"/>
          <w:color w:val="auto"/>
          <w:kern w:val="2"/>
          <w:sz w:val="24"/>
          <w:szCs w:val="24"/>
          <w:highlight w:val="none"/>
          <w:lang w:val="en-US" w:eastAsia="zh-CN" w:bidi="ar-SA"/>
        </w:rPr>
      </w:pPr>
    </w:p>
    <w:p>
      <w:pPr>
        <w:outlineLvl w:val="9"/>
        <w:rPr>
          <w:rFonts w:hint="eastAsia" w:ascii="Times New Roman" w:hAnsi="Times New Roman" w:eastAsia="黑体" w:cs="Times New Roman"/>
          <w:color w:val="auto"/>
          <w:kern w:val="2"/>
          <w:sz w:val="24"/>
          <w:szCs w:val="24"/>
          <w:highlight w:val="none"/>
          <w:lang w:val="en-US" w:eastAsia="zh-CN" w:bidi="ar-SA"/>
        </w:rPr>
      </w:pPr>
    </w:p>
    <w:p>
      <w:pPr>
        <w:outlineLvl w:val="9"/>
        <w:rPr>
          <w:rFonts w:hint="eastAsia" w:ascii="Times New Roman" w:hAnsi="Times New Roman" w:eastAsia="黑体" w:cs="Times New Roman"/>
          <w:color w:val="auto"/>
          <w:kern w:val="2"/>
          <w:sz w:val="24"/>
          <w:szCs w:val="24"/>
          <w:highlight w:val="none"/>
          <w:lang w:val="en-US" w:eastAsia="zh-CN" w:bidi="ar-SA"/>
        </w:rPr>
      </w:pPr>
    </w:p>
    <w:p>
      <w:pPr>
        <w:rPr>
          <w:rFonts w:hint="eastAsia" w:ascii="Times New Roman" w:hAnsi="Times New Roman" w:eastAsia="黑体" w:cs="Times New Roman"/>
          <w:color w:val="auto"/>
          <w:kern w:val="2"/>
          <w:sz w:val="24"/>
          <w:szCs w:val="24"/>
          <w:highlight w:val="none"/>
          <w:lang w:val="en-US" w:eastAsia="zh-CN" w:bidi="ar-SA"/>
        </w:rPr>
      </w:pPr>
    </w:p>
    <w:p>
      <w:pPr>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表7 非甲烷总烃检测结果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5756275" cy="5349240"/>
            <wp:effectExtent l="9525" t="9525" r="2540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lum bright="6000"/>
                    </a:blip>
                    <a:stretch>
                      <a:fillRect/>
                    </a:stretch>
                  </pic:blipFill>
                  <pic:spPr>
                    <a:xfrm>
                      <a:off x="0" y="0"/>
                      <a:ext cx="5756275" cy="5349240"/>
                    </a:xfrm>
                    <a:prstGeom prst="rect">
                      <a:avLst/>
                    </a:prstGeom>
                    <a:noFill/>
                    <a:ln>
                      <a:solidFill>
                        <a:schemeClr val="tx1"/>
                      </a:solidFill>
                    </a:ln>
                  </pic:spPr>
                </pic:pic>
              </a:graphicData>
            </a:graphic>
          </wp:inline>
        </w:drawing>
      </w:r>
      <w:r>
        <w:drawing>
          <wp:inline distT="0" distB="0" distL="114300" distR="114300">
            <wp:extent cx="5758180" cy="2771775"/>
            <wp:effectExtent l="0" t="0" r="1397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lum bright="6000"/>
                    </a:blip>
                    <a:stretch>
                      <a:fillRect/>
                    </a:stretch>
                  </pic:blipFill>
                  <pic:spPr>
                    <a:xfrm>
                      <a:off x="0" y="0"/>
                      <a:ext cx="5758180" cy="2771775"/>
                    </a:xfrm>
                    <a:prstGeom prst="rect">
                      <a:avLst/>
                    </a:prstGeom>
                    <a:noFill/>
                    <a:ln>
                      <a:noFill/>
                    </a:ln>
                  </pic:spPr>
                </pic:pic>
              </a:graphicData>
            </a:graphic>
          </wp:inline>
        </w:drawing>
      </w:r>
    </w:p>
    <w:p>
      <w:pPr>
        <w:spacing w:line="240" w:lineRule="auto"/>
        <w:ind w:left="0" w:leftChars="0" w:firstLine="0" w:firstLineChars="0"/>
        <w:jc w:val="center"/>
        <w:rPr>
          <w:rFonts w:hint="default" w:eastAsia="宋体"/>
          <w:lang w:val="en-US" w:eastAsia="zh-CN"/>
        </w:rPr>
      </w:pPr>
      <w:r>
        <w:rPr>
          <w:rFonts w:hint="eastAsia" w:ascii="Times New Roman" w:hAnsi="Times New Roman" w:eastAsia="黑体" w:cs="Times New Roman"/>
          <w:color w:val="auto"/>
          <w:kern w:val="2"/>
          <w:sz w:val="24"/>
          <w:szCs w:val="24"/>
          <w:highlight w:val="none"/>
          <w:lang w:val="en-US" w:eastAsia="zh-CN" w:bidi="ar-SA"/>
        </w:rPr>
        <w:t>表8 退火炉废气检测</w:t>
      </w:r>
      <w:r>
        <w:drawing>
          <wp:inline distT="0" distB="0" distL="114300" distR="114300">
            <wp:extent cx="5752465" cy="1328420"/>
            <wp:effectExtent l="0" t="0" r="63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752465" cy="1328420"/>
                    </a:xfrm>
                    <a:prstGeom prst="rect">
                      <a:avLst/>
                    </a:prstGeom>
                    <a:noFill/>
                    <a:ln>
                      <a:noFill/>
                    </a:ln>
                  </pic:spPr>
                </pic:pic>
              </a:graphicData>
            </a:graphic>
          </wp:inline>
        </w:drawing>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表9 回转炉排放口检测报告</w:t>
      </w:r>
    </w:p>
    <w:p>
      <w:pPr>
        <w:spacing w:line="240" w:lineRule="auto"/>
        <w:ind w:left="0" w:leftChars="0" w:firstLine="0" w:firstLineChars="0"/>
        <w:jc w:val="center"/>
      </w:pPr>
      <w:r>
        <w:drawing>
          <wp:inline distT="0" distB="0" distL="114300" distR="114300">
            <wp:extent cx="5314950" cy="6305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lum bright="6000"/>
                    </a:blip>
                    <a:stretch>
                      <a:fillRect/>
                    </a:stretch>
                  </pic:blipFill>
                  <pic:spPr>
                    <a:xfrm>
                      <a:off x="0" y="0"/>
                      <a:ext cx="5314950" cy="6305550"/>
                    </a:xfrm>
                    <a:prstGeom prst="rect">
                      <a:avLst/>
                    </a:prstGeom>
                    <a:noFill/>
                    <a:ln>
                      <a:noFill/>
                    </a:ln>
                  </pic:spPr>
                </pic:pic>
              </a:graphicData>
            </a:graphic>
          </wp:inline>
        </w:drawing>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p>
    <w:p>
      <w:pPr>
        <w:spacing w:line="240" w:lineRule="auto"/>
        <w:ind w:left="0" w:leftChars="0" w:firstLine="0" w:firstLineChars="0"/>
        <w:jc w:val="center"/>
        <w:rPr>
          <w:rFonts w:hint="default" w:eastAsia="宋体"/>
          <w:lang w:val="en-US" w:eastAsia="zh-CN"/>
        </w:rPr>
      </w:pPr>
      <w:r>
        <w:rPr>
          <w:rFonts w:hint="eastAsia" w:ascii="Times New Roman" w:hAnsi="Times New Roman" w:eastAsia="黑体" w:cs="Times New Roman"/>
          <w:color w:val="auto"/>
          <w:kern w:val="2"/>
          <w:sz w:val="24"/>
          <w:szCs w:val="24"/>
          <w:highlight w:val="none"/>
          <w:lang w:val="en-US" w:eastAsia="zh-CN" w:bidi="ar-SA"/>
        </w:rPr>
        <w:t>表10 熔炼排放口检测报告</w:t>
      </w:r>
      <w:r>
        <w:drawing>
          <wp:inline distT="0" distB="0" distL="114300" distR="114300">
            <wp:extent cx="5760720" cy="3483610"/>
            <wp:effectExtent l="0" t="0" r="1143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lum bright="6000"/>
                    </a:blip>
                    <a:stretch>
                      <a:fillRect/>
                    </a:stretch>
                  </pic:blipFill>
                  <pic:spPr>
                    <a:xfrm>
                      <a:off x="0" y="0"/>
                      <a:ext cx="5760720" cy="3483610"/>
                    </a:xfrm>
                    <a:prstGeom prst="rect">
                      <a:avLst/>
                    </a:prstGeom>
                    <a:noFill/>
                    <a:ln>
                      <a:noFill/>
                    </a:ln>
                  </pic:spPr>
                </pic:pic>
              </a:graphicData>
            </a:graphic>
          </wp:inline>
        </w:drawing>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表11 颗粒物检测报告</w:t>
      </w:r>
    </w:p>
    <w:p>
      <w:pPr>
        <w:bidi w:val="0"/>
        <w:spacing w:line="240" w:lineRule="auto"/>
        <w:ind w:left="0" w:leftChars="0" w:firstLine="0" w:firstLineChars="0"/>
      </w:pPr>
      <w:r>
        <w:drawing>
          <wp:inline distT="0" distB="0" distL="114300" distR="114300">
            <wp:extent cx="5756275" cy="4551680"/>
            <wp:effectExtent l="0" t="0" r="1587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lum bright="6000"/>
                    </a:blip>
                    <a:stretch>
                      <a:fillRect/>
                    </a:stretch>
                  </pic:blipFill>
                  <pic:spPr>
                    <a:xfrm>
                      <a:off x="0" y="0"/>
                      <a:ext cx="5756275" cy="4551680"/>
                    </a:xfrm>
                    <a:prstGeom prst="rect">
                      <a:avLst/>
                    </a:prstGeom>
                    <a:noFill/>
                    <a:ln>
                      <a:noFill/>
                    </a:ln>
                  </pic:spPr>
                </pic:pic>
              </a:graphicData>
            </a:graphic>
          </wp:inline>
        </w:drawing>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表12 研磨筛分检测报告</w:t>
      </w:r>
    </w:p>
    <w:p>
      <w:pPr>
        <w:bidi w:val="0"/>
        <w:spacing w:line="240" w:lineRule="auto"/>
        <w:ind w:left="0" w:leftChars="0" w:firstLine="0" w:firstLineChars="0"/>
      </w:pPr>
      <w:r>
        <w:drawing>
          <wp:inline distT="0" distB="0" distL="114300" distR="114300">
            <wp:extent cx="5758180" cy="2933700"/>
            <wp:effectExtent l="0" t="0" r="139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lum bright="6000"/>
                    </a:blip>
                    <a:stretch>
                      <a:fillRect/>
                    </a:stretch>
                  </pic:blipFill>
                  <pic:spPr>
                    <a:xfrm>
                      <a:off x="0" y="0"/>
                      <a:ext cx="5758180" cy="2933700"/>
                    </a:xfrm>
                    <a:prstGeom prst="rect">
                      <a:avLst/>
                    </a:prstGeom>
                    <a:noFill/>
                    <a:ln>
                      <a:noFill/>
                    </a:ln>
                  </pic:spPr>
                </pic:pic>
              </a:graphicData>
            </a:graphic>
          </wp:inline>
        </w:drawing>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表13 烘干及氨吸收塔废气检测</w:t>
      </w:r>
    </w:p>
    <w:p>
      <w:pPr>
        <w:bidi w:val="0"/>
        <w:spacing w:line="240" w:lineRule="auto"/>
        <w:ind w:left="0" w:leftChars="0" w:firstLine="0" w:firstLineChars="0"/>
      </w:pPr>
      <w:r>
        <w:drawing>
          <wp:inline distT="0" distB="0" distL="114300" distR="114300">
            <wp:extent cx="5758180" cy="2755265"/>
            <wp:effectExtent l="0" t="0" r="1397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lum bright="6000"/>
                    </a:blip>
                    <a:stretch>
                      <a:fillRect/>
                    </a:stretch>
                  </pic:blipFill>
                  <pic:spPr>
                    <a:xfrm>
                      <a:off x="0" y="0"/>
                      <a:ext cx="5758180" cy="2755265"/>
                    </a:xfrm>
                    <a:prstGeom prst="rect">
                      <a:avLst/>
                    </a:prstGeom>
                    <a:noFill/>
                    <a:ln>
                      <a:noFill/>
                    </a:ln>
                  </pic:spPr>
                </pic:pic>
              </a:graphicData>
            </a:graphic>
          </wp:inline>
        </w:drawing>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表14 危废间氨吸收装置检测结果</w:t>
      </w:r>
    </w:p>
    <w:p>
      <w:pPr>
        <w:bidi w:val="0"/>
        <w:spacing w:line="240" w:lineRule="auto"/>
        <w:ind w:left="0" w:leftChars="0" w:firstLine="0" w:firstLineChars="0"/>
      </w:pPr>
      <w:r>
        <w:drawing>
          <wp:inline distT="0" distB="0" distL="114300" distR="114300">
            <wp:extent cx="5759450" cy="2359025"/>
            <wp:effectExtent l="0" t="0" r="1270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lum bright="6000"/>
                    </a:blip>
                    <a:stretch>
                      <a:fillRect/>
                    </a:stretch>
                  </pic:blipFill>
                  <pic:spPr>
                    <a:xfrm>
                      <a:off x="0" y="0"/>
                      <a:ext cx="5759450" cy="2359025"/>
                    </a:xfrm>
                    <a:prstGeom prst="rect">
                      <a:avLst/>
                    </a:prstGeom>
                    <a:noFill/>
                    <a:ln>
                      <a:noFill/>
                    </a:ln>
                  </pic:spPr>
                </pic:pic>
              </a:graphicData>
            </a:graphic>
          </wp:inline>
        </w:drawing>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表15 格林曼黑度检测结果</w:t>
      </w:r>
    </w:p>
    <w:p>
      <w:pPr>
        <w:bidi w:val="0"/>
        <w:spacing w:line="240" w:lineRule="auto"/>
        <w:ind w:left="0" w:leftChars="0" w:firstLine="0" w:firstLineChars="0"/>
        <w:rPr>
          <w:rFonts w:hint="default"/>
          <w:lang w:val="en-US" w:eastAsia="zh-CN"/>
        </w:rPr>
      </w:pPr>
      <w:r>
        <w:drawing>
          <wp:inline distT="0" distB="0" distL="114300" distR="114300">
            <wp:extent cx="5758180" cy="4136390"/>
            <wp:effectExtent l="0" t="0" r="1397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758180" cy="4136390"/>
                    </a:xfrm>
                    <a:prstGeom prst="rect">
                      <a:avLst/>
                    </a:prstGeom>
                    <a:noFill/>
                    <a:ln>
                      <a:noFill/>
                    </a:ln>
                  </pic:spPr>
                </pic:pic>
              </a:graphicData>
            </a:graphic>
          </wp:inline>
        </w:drawing>
      </w:r>
    </w:p>
    <w:p>
      <w:pPr>
        <w:bidi w:val="0"/>
        <w:outlineLvl w:val="2"/>
        <w:rPr>
          <w:rFonts w:hint="eastAsia" w:cs="Times New Roman"/>
          <w:kern w:val="2"/>
          <w:sz w:val="24"/>
          <w:szCs w:val="24"/>
          <w:lang w:val="en-US" w:eastAsia="zh-CN" w:bidi="ar-SA"/>
        </w:rPr>
      </w:pPr>
      <w:r>
        <w:rPr>
          <w:rFonts w:hint="eastAsia" w:cs="Times New Roman"/>
          <w:kern w:val="2"/>
          <w:sz w:val="24"/>
          <w:szCs w:val="24"/>
          <w:lang w:val="en-US" w:eastAsia="zh-CN" w:bidi="ar-SA"/>
        </w:rPr>
        <w:t>（2）在线监测</w:t>
      </w:r>
    </w:p>
    <w:p>
      <w:pPr>
        <w:spacing w:line="240" w:lineRule="auto"/>
        <w:ind w:left="0" w:leftChars="0" w:firstLine="0" w:firstLineChars="0"/>
        <w:outlineLvl w:val="9"/>
        <w:rPr>
          <w:rFonts w:hint="default"/>
          <w:lang w:val="en-US" w:eastAsia="zh-CN"/>
        </w:rPr>
      </w:pPr>
      <w:r>
        <w:drawing>
          <wp:inline distT="0" distB="0" distL="114300" distR="114300">
            <wp:extent cx="5993765" cy="3094355"/>
            <wp:effectExtent l="0" t="0" r="698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5993765" cy="3094355"/>
                    </a:xfrm>
                    <a:prstGeom prst="rect">
                      <a:avLst/>
                    </a:prstGeom>
                    <a:noFill/>
                    <a:ln>
                      <a:noFill/>
                    </a:ln>
                  </pic:spPr>
                </pic:pic>
              </a:graphicData>
            </a:graphic>
          </wp:inline>
        </w:drawing>
      </w:r>
      <w:r>
        <w:drawing>
          <wp:inline distT="0" distB="0" distL="114300" distR="114300">
            <wp:extent cx="5760085" cy="3622040"/>
            <wp:effectExtent l="0" t="0" r="12065"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760085" cy="3622040"/>
                    </a:xfrm>
                    <a:prstGeom prst="rect">
                      <a:avLst/>
                    </a:prstGeom>
                    <a:noFill/>
                    <a:ln>
                      <a:noFill/>
                    </a:ln>
                  </pic:spPr>
                </pic:pic>
              </a:graphicData>
            </a:graphic>
          </wp:inline>
        </w:drawing>
      </w:r>
      <w:r>
        <w:drawing>
          <wp:inline distT="0" distB="0" distL="114300" distR="114300">
            <wp:extent cx="5759450" cy="3708400"/>
            <wp:effectExtent l="0" t="0" r="1270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759450" cy="3708400"/>
                    </a:xfrm>
                    <a:prstGeom prst="rect">
                      <a:avLst/>
                    </a:prstGeom>
                    <a:noFill/>
                    <a:ln>
                      <a:noFill/>
                    </a:ln>
                  </pic:spPr>
                </pic:pic>
              </a:graphicData>
            </a:graphic>
          </wp:inline>
        </w:drawing>
      </w:r>
      <w:r>
        <w:drawing>
          <wp:inline distT="0" distB="0" distL="114300" distR="114300">
            <wp:extent cx="5755640" cy="3297555"/>
            <wp:effectExtent l="0" t="0" r="16510"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755640" cy="3297555"/>
                    </a:xfrm>
                    <a:prstGeom prst="rect">
                      <a:avLst/>
                    </a:prstGeom>
                    <a:noFill/>
                    <a:ln>
                      <a:noFill/>
                    </a:ln>
                  </pic:spPr>
                </pic:pic>
              </a:graphicData>
            </a:graphic>
          </wp:inline>
        </w:drawing>
      </w:r>
      <w:r>
        <w:drawing>
          <wp:inline distT="0" distB="0" distL="114300" distR="114300">
            <wp:extent cx="5756275" cy="2971165"/>
            <wp:effectExtent l="0" t="0" r="1587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5756275" cy="2971165"/>
                    </a:xfrm>
                    <a:prstGeom prst="rect">
                      <a:avLst/>
                    </a:prstGeom>
                    <a:noFill/>
                    <a:ln>
                      <a:noFill/>
                    </a:ln>
                  </pic:spPr>
                </pic:pic>
              </a:graphicData>
            </a:graphic>
          </wp:inline>
        </w:drawing>
      </w:r>
      <w:r>
        <w:drawing>
          <wp:inline distT="0" distB="0" distL="114300" distR="114300">
            <wp:extent cx="5756910" cy="4397375"/>
            <wp:effectExtent l="0" t="0" r="152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5756910" cy="4397375"/>
                    </a:xfrm>
                    <a:prstGeom prst="rect">
                      <a:avLst/>
                    </a:prstGeom>
                    <a:noFill/>
                    <a:ln>
                      <a:noFill/>
                    </a:ln>
                  </pic:spPr>
                </pic:pic>
              </a:graphicData>
            </a:graphic>
          </wp:inline>
        </w:drawing>
      </w:r>
    </w:p>
    <w:p>
      <w:pPr>
        <w:rPr>
          <w:rFonts w:hint="eastAsia" w:cs="Times New Roman"/>
          <w:kern w:val="2"/>
          <w:sz w:val="24"/>
          <w:szCs w:val="24"/>
          <w:lang w:val="en-US" w:eastAsia="zh-CN" w:bidi="ar-SA"/>
        </w:rPr>
      </w:pPr>
      <w:r>
        <w:rPr>
          <w:rFonts w:hint="eastAsia" w:cs="Times New Roman"/>
          <w:kern w:val="2"/>
          <w:sz w:val="24"/>
          <w:szCs w:val="24"/>
          <w:lang w:val="en-US" w:eastAsia="zh-CN" w:bidi="ar-SA"/>
        </w:rPr>
        <w:br w:type="page"/>
      </w:r>
    </w:p>
    <w:p>
      <w:pPr>
        <w:bidi w:val="0"/>
        <w:outlineLvl w:val="2"/>
        <w:rPr>
          <w:rFonts w:hint="eastAsia" w:cs="Times New Roman"/>
          <w:kern w:val="2"/>
          <w:sz w:val="24"/>
          <w:szCs w:val="24"/>
          <w:lang w:val="en-US" w:eastAsia="zh-CN" w:bidi="ar-SA"/>
        </w:rPr>
      </w:pPr>
      <w:r>
        <w:rPr>
          <w:rFonts w:hint="eastAsia" w:cs="Times New Roman"/>
          <w:kern w:val="2"/>
          <w:sz w:val="24"/>
          <w:szCs w:val="24"/>
          <w:lang w:val="en-US" w:eastAsia="zh-CN" w:bidi="ar-SA"/>
        </w:rPr>
        <w:t>（3）无组织检测报告</w:t>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表16 厂界无组织检测报告</w:t>
      </w:r>
    </w:p>
    <w:p>
      <w:pPr>
        <w:bidi w:val="0"/>
        <w:spacing w:line="240" w:lineRule="auto"/>
        <w:ind w:left="0" w:leftChars="0" w:firstLine="0" w:firstLineChars="0"/>
        <w:rPr>
          <w:rFonts w:hint="default" w:cs="Times New Roman"/>
          <w:kern w:val="2"/>
          <w:sz w:val="24"/>
          <w:szCs w:val="24"/>
          <w:lang w:val="en-US" w:eastAsia="zh-CN" w:bidi="ar-SA"/>
        </w:rPr>
      </w:pPr>
      <w:r>
        <w:drawing>
          <wp:inline distT="0" distB="0" distL="114300" distR="114300">
            <wp:extent cx="5757545" cy="3852545"/>
            <wp:effectExtent l="0" t="0" r="1460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lum bright="6000"/>
                    </a:blip>
                    <a:stretch>
                      <a:fillRect/>
                    </a:stretch>
                  </pic:blipFill>
                  <pic:spPr>
                    <a:xfrm>
                      <a:off x="0" y="0"/>
                      <a:ext cx="5757545" cy="3852545"/>
                    </a:xfrm>
                    <a:prstGeom prst="rect">
                      <a:avLst/>
                    </a:prstGeom>
                    <a:noFill/>
                    <a:ln>
                      <a:noFill/>
                    </a:ln>
                  </pic:spPr>
                </pic:pic>
              </a:graphicData>
            </a:graphic>
          </wp:inline>
        </w:drawing>
      </w:r>
      <w:r>
        <w:drawing>
          <wp:inline distT="0" distB="0" distL="114300" distR="114300">
            <wp:extent cx="5751830" cy="1431925"/>
            <wp:effectExtent l="0" t="0" r="127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5751830" cy="1431925"/>
                    </a:xfrm>
                    <a:prstGeom prst="rect">
                      <a:avLst/>
                    </a:prstGeom>
                    <a:noFill/>
                    <a:ln>
                      <a:noFill/>
                    </a:ln>
                  </pic:spPr>
                </pic:pic>
              </a:graphicData>
            </a:graphic>
          </wp:inline>
        </w:drawing>
      </w:r>
    </w:p>
    <w:p>
      <w:pPr>
        <w:bidi w:val="0"/>
        <w:outlineLvl w:val="1"/>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6.2 废水检测报告</w:t>
      </w:r>
    </w:p>
    <w:p>
      <w:pPr>
        <w:bidi w:val="0"/>
        <w:spacing w:line="240" w:lineRule="auto"/>
        <w:ind w:left="0" w:leftChars="0" w:firstLine="0" w:firstLineChars="0"/>
        <w:jc w:val="center"/>
        <w:rPr>
          <w:rFonts w:hint="eastAsia"/>
          <w:b/>
          <w:bCs/>
          <w:sz w:val="24"/>
          <w:szCs w:val="24"/>
          <w:lang w:val="en-US" w:eastAsia="zh-CN"/>
        </w:rPr>
      </w:pPr>
      <w:r>
        <w:rPr>
          <w:rFonts w:hint="eastAsia" w:ascii="Times New Roman" w:hAnsi="Times New Roman" w:eastAsia="黑体" w:cs="Times New Roman"/>
          <w:color w:val="auto"/>
          <w:kern w:val="2"/>
          <w:sz w:val="24"/>
          <w:szCs w:val="24"/>
          <w:highlight w:val="none"/>
          <w:lang w:val="en-US" w:eastAsia="zh-CN" w:bidi="ar-SA"/>
        </w:rPr>
        <w:t>表17 废水检测结果</w:t>
      </w:r>
    </w:p>
    <w:p>
      <w:pPr>
        <w:bidi w:val="0"/>
        <w:spacing w:line="240" w:lineRule="auto"/>
        <w:ind w:left="0" w:leftChars="0" w:firstLine="0" w:firstLineChars="0"/>
        <w:rPr>
          <w:rFonts w:hint="default"/>
          <w:lang w:val="en-US" w:eastAsia="zh-CN"/>
        </w:rPr>
      </w:pPr>
      <w:r>
        <w:drawing>
          <wp:inline distT="0" distB="0" distL="114300" distR="114300">
            <wp:extent cx="5753735" cy="1006475"/>
            <wp:effectExtent l="0" t="0" r="1841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lum bright="6000"/>
                    </a:blip>
                    <a:stretch>
                      <a:fillRect/>
                    </a:stretch>
                  </pic:blipFill>
                  <pic:spPr>
                    <a:xfrm>
                      <a:off x="0" y="0"/>
                      <a:ext cx="5753735" cy="1006475"/>
                    </a:xfrm>
                    <a:prstGeom prst="rect">
                      <a:avLst/>
                    </a:prstGeom>
                    <a:noFill/>
                    <a:ln>
                      <a:noFill/>
                    </a:ln>
                  </pic:spPr>
                </pic:pic>
              </a:graphicData>
            </a:graphic>
          </wp:inline>
        </w:drawing>
      </w:r>
    </w:p>
    <w:p>
      <w:pPr>
        <w:bidi w:val="0"/>
        <w:outlineLvl w:val="1"/>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6.3 噪声检测报告</w:t>
      </w:r>
    </w:p>
    <w:p>
      <w:pPr>
        <w:bidi w:val="0"/>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p>
    <w:p>
      <w:pPr>
        <w:bidi w:val="0"/>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 xml:space="preserve">表18 </w:t>
      </w:r>
      <w:r>
        <w:rPr>
          <w:rFonts w:hint="eastAsia" w:eastAsia="黑体" w:cs="Times New Roman"/>
          <w:color w:val="auto"/>
          <w:kern w:val="2"/>
          <w:sz w:val="24"/>
          <w:szCs w:val="24"/>
          <w:highlight w:val="none"/>
          <w:lang w:val="en-US" w:eastAsia="zh-CN" w:bidi="ar-SA"/>
        </w:rPr>
        <w:t>厂界噪声</w:t>
      </w:r>
      <w:r>
        <w:rPr>
          <w:rFonts w:hint="eastAsia" w:ascii="Times New Roman" w:hAnsi="Times New Roman" w:eastAsia="黑体" w:cs="Times New Roman"/>
          <w:color w:val="auto"/>
          <w:kern w:val="2"/>
          <w:sz w:val="24"/>
          <w:szCs w:val="24"/>
          <w:highlight w:val="none"/>
          <w:lang w:val="en-US" w:eastAsia="zh-CN" w:bidi="ar-SA"/>
        </w:rPr>
        <w:t>检测结果</w:t>
      </w:r>
    </w:p>
    <w:p>
      <w:pPr>
        <w:bidi w:val="0"/>
        <w:spacing w:line="240" w:lineRule="auto"/>
        <w:ind w:left="0" w:leftChars="0" w:firstLine="0" w:firstLineChars="0"/>
        <w:rPr>
          <w:rFonts w:hint="default"/>
          <w:lang w:val="en-US" w:eastAsia="zh-CN"/>
        </w:rPr>
      </w:pPr>
      <w:r>
        <w:drawing>
          <wp:inline distT="0" distB="0" distL="114300" distR="114300">
            <wp:extent cx="5756275" cy="1144270"/>
            <wp:effectExtent l="0" t="0" r="1587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lum bright="6000"/>
                    </a:blip>
                    <a:stretch>
                      <a:fillRect/>
                    </a:stretch>
                  </pic:blipFill>
                  <pic:spPr>
                    <a:xfrm>
                      <a:off x="0" y="0"/>
                      <a:ext cx="5756275" cy="1144270"/>
                    </a:xfrm>
                    <a:prstGeom prst="rect">
                      <a:avLst/>
                    </a:prstGeom>
                    <a:noFill/>
                    <a:ln>
                      <a:noFill/>
                    </a:ln>
                  </pic:spPr>
                </pic:pic>
              </a:graphicData>
            </a:graphic>
          </wp:inline>
        </w:drawing>
      </w:r>
    </w:p>
    <w:p>
      <w:pPr>
        <w:bidi w:val="0"/>
        <w:outlineLvl w:val="1"/>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6.4 固体废物产生情况</w:t>
      </w:r>
    </w:p>
    <w:p>
      <w:pPr>
        <w:ind w:left="0" w:leftChars="0" w:firstLine="0" w:firstLine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ascii="Times New Roman" w:hAnsi="Times New Roman" w:eastAsia="黑体" w:cs="Times New Roman"/>
          <w:color w:val="auto"/>
          <w:kern w:val="2"/>
          <w:sz w:val="24"/>
          <w:szCs w:val="24"/>
          <w:highlight w:val="none"/>
          <w:lang w:val="en-US" w:eastAsia="zh-CN" w:bidi="ar-SA"/>
        </w:rPr>
        <w:t xml:space="preserve">19 </w:t>
      </w:r>
      <w:r>
        <w:rPr>
          <w:rFonts w:hint="default" w:ascii="Times New Roman" w:hAnsi="Times New Roman" w:eastAsia="黑体" w:cs="Times New Roman"/>
          <w:color w:val="auto"/>
          <w:kern w:val="2"/>
          <w:sz w:val="24"/>
          <w:szCs w:val="24"/>
          <w:highlight w:val="none"/>
          <w:lang w:val="en-US" w:eastAsia="zh-CN" w:bidi="ar-SA"/>
        </w:rPr>
        <w:t>企业</w:t>
      </w:r>
      <w:r>
        <w:rPr>
          <w:rFonts w:hint="eastAsia" w:ascii="Times New Roman" w:hAnsi="Times New Roman" w:eastAsia="黑体" w:cs="Times New Roman"/>
          <w:color w:val="auto"/>
          <w:kern w:val="2"/>
          <w:sz w:val="24"/>
          <w:szCs w:val="24"/>
          <w:highlight w:val="none"/>
          <w:lang w:val="en-US" w:eastAsia="zh-CN" w:bidi="ar-SA"/>
        </w:rPr>
        <w:t>202</w:t>
      </w:r>
      <w:r>
        <w:rPr>
          <w:rFonts w:hint="eastAsia" w:eastAsia="黑体" w:cs="Times New Roman"/>
          <w:color w:val="auto"/>
          <w:kern w:val="2"/>
          <w:sz w:val="24"/>
          <w:szCs w:val="24"/>
          <w:highlight w:val="none"/>
          <w:lang w:val="en-US" w:eastAsia="zh-CN" w:bidi="ar-SA"/>
        </w:rPr>
        <w:t>3</w:t>
      </w:r>
      <w:r>
        <w:rPr>
          <w:rFonts w:hint="default" w:ascii="Times New Roman" w:hAnsi="Times New Roman" w:eastAsia="黑体" w:cs="Times New Roman"/>
          <w:color w:val="auto"/>
          <w:kern w:val="2"/>
          <w:sz w:val="24"/>
          <w:szCs w:val="24"/>
          <w:highlight w:val="none"/>
          <w:lang w:val="en-US" w:eastAsia="zh-CN" w:bidi="ar-SA"/>
        </w:rPr>
        <w:t>年</w:t>
      </w:r>
      <w:r>
        <w:rPr>
          <w:rFonts w:hint="eastAsia" w:ascii="Times New Roman" w:hAnsi="Times New Roman" w:eastAsia="黑体" w:cs="Times New Roman"/>
          <w:color w:val="auto"/>
          <w:kern w:val="2"/>
          <w:sz w:val="24"/>
          <w:szCs w:val="24"/>
          <w:highlight w:val="none"/>
          <w:lang w:val="en-US" w:eastAsia="zh-CN" w:bidi="ar-SA"/>
        </w:rPr>
        <w:t>危</w:t>
      </w:r>
      <w:r>
        <w:rPr>
          <w:rFonts w:hint="default" w:ascii="Times New Roman" w:hAnsi="Times New Roman" w:eastAsia="黑体" w:cs="Times New Roman"/>
          <w:color w:val="auto"/>
          <w:kern w:val="2"/>
          <w:sz w:val="24"/>
          <w:szCs w:val="24"/>
          <w:highlight w:val="none"/>
          <w:lang w:val="en-US" w:eastAsia="zh-CN" w:bidi="ar-SA"/>
        </w:rPr>
        <w:t>废</w:t>
      </w:r>
      <w:r>
        <w:rPr>
          <w:rFonts w:hint="eastAsia" w:ascii="Times New Roman" w:hAnsi="Times New Roman" w:eastAsia="黑体" w:cs="Times New Roman"/>
          <w:color w:val="auto"/>
          <w:kern w:val="2"/>
          <w:sz w:val="24"/>
          <w:szCs w:val="24"/>
          <w:highlight w:val="none"/>
          <w:lang w:val="en-US" w:eastAsia="zh-CN" w:bidi="ar-SA"/>
        </w:rPr>
        <w:t>处置情况</w:t>
      </w:r>
    </w:p>
    <w:tbl>
      <w:tblPr>
        <w:tblStyle w:val="1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678"/>
        <w:gridCol w:w="2343"/>
        <w:gridCol w:w="1611"/>
        <w:gridCol w:w="1416"/>
        <w:gridCol w:w="2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365"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类型</w:t>
            </w:r>
          </w:p>
        </w:tc>
        <w:tc>
          <w:tcPr>
            <w:tcW w:w="1261"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名称</w:t>
            </w:r>
          </w:p>
        </w:tc>
        <w:tc>
          <w:tcPr>
            <w:tcW w:w="867"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202</w:t>
            </w:r>
            <w:r>
              <w:rPr>
                <w:rFonts w:hint="eastAsia"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年产生量（t/a）</w:t>
            </w:r>
          </w:p>
        </w:tc>
        <w:tc>
          <w:tcPr>
            <w:tcW w:w="762"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处理处置措施</w:t>
            </w:r>
          </w:p>
        </w:tc>
        <w:tc>
          <w:tcPr>
            <w:tcW w:w="1319"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365" w:type="pct"/>
            <w:vMerge w:val="restar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危废</w:t>
            </w: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除尘灰</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3996.499</w:t>
            </w:r>
          </w:p>
        </w:tc>
        <w:tc>
          <w:tcPr>
            <w:tcW w:w="762" w:type="pct"/>
            <w:vMerge w:val="restar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危废间暂存，交由有资质单位处置</w:t>
            </w:r>
          </w:p>
        </w:tc>
        <w:tc>
          <w:tcPr>
            <w:tcW w:w="1319" w:type="pct"/>
            <w:vMerge w:val="restar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危险废物执行《危险废物贮存污染控制标准》GB18597-2023（2023年7月1日）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除尘袋</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15.912</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废包装桶</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1.319</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污泥</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16.53</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废矿物油桶</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22.265</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废滤布</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24.642</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废滤芯</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1.14</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实验废液</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废硅藻土</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661.17</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废矿物油</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21.047</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废胶管</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1.816</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365"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234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废油布</w:t>
            </w:r>
          </w:p>
        </w:tc>
        <w:tc>
          <w:tcPr>
            <w:tcW w:w="16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16.7805</w:t>
            </w:r>
          </w:p>
        </w:tc>
        <w:tc>
          <w:tcPr>
            <w:tcW w:w="762"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c>
          <w:tcPr>
            <w:tcW w:w="1319" w:type="pct"/>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p>
        </w:tc>
      </w:tr>
    </w:tbl>
    <w:p>
      <w:pPr>
        <w:pStyle w:val="5"/>
        <w:numPr>
          <w:ilvl w:val="0"/>
          <w:numId w:val="0"/>
        </w:numPr>
        <w:ind w:firstLine="562" w:firstLineChars="200"/>
        <w:outlineLvl w:val="0"/>
        <w:rPr>
          <w:rFonts w:hint="eastAsia" w:ascii="Times New Roman" w:hAnsi="Times New Roman" w:eastAsia="宋体" w:cs="Times New Roman"/>
          <w:b/>
          <w:bCs/>
          <w:kern w:val="2"/>
          <w:sz w:val="28"/>
          <w:lang w:val="en-US" w:eastAsia="zh-CN" w:bidi="ar-SA"/>
        </w:rPr>
      </w:pPr>
      <w:r>
        <w:rPr>
          <w:rFonts w:hint="eastAsia" w:ascii="Times New Roman" w:hAnsi="Times New Roman" w:eastAsia="宋体" w:cs="Times New Roman"/>
          <w:b/>
          <w:bCs/>
          <w:kern w:val="2"/>
          <w:sz w:val="28"/>
          <w:lang w:val="en-US" w:eastAsia="zh-CN" w:bidi="ar-SA"/>
        </w:rPr>
        <w:t>7、现有环境风险防控措施</w:t>
      </w:r>
    </w:p>
    <w:p>
      <w:pPr>
        <w:ind w:firstLine="480" w:firstLineChars="200"/>
        <w:jc w:val="both"/>
        <w:rPr>
          <w:rFonts w:hint="eastAsia" w:ascii="Times New Roman" w:hAnsi="Times New Roman" w:eastAsia="宋体" w:cs="Times New Roman"/>
          <w:kern w:val="2"/>
          <w:sz w:val="24"/>
          <w:szCs w:val="24"/>
          <w:lang w:val="en-US" w:eastAsia="zh-CN" w:bidi="ar-SA"/>
        </w:rPr>
      </w:pPr>
      <w:bookmarkStart w:id="0" w:name="_Toc517167091"/>
      <w:bookmarkStart w:id="1" w:name="_Toc517117316"/>
      <w:r>
        <w:rPr>
          <w:rFonts w:hint="eastAsia" w:ascii="Times New Roman" w:hAnsi="Times New Roman" w:eastAsia="宋体" w:cs="Times New Roman"/>
          <w:kern w:val="2"/>
          <w:sz w:val="24"/>
          <w:szCs w:val="24"/>
          <w:lang w:val="en-US" w:eastAsia="zh-CN" w:bidi="ar-SA"/>
        </w:rPr>
        <w:t>企业涉及风险物质如下所示。</w:t>
      </w:r>
    </w:p>
    <w:p>
      <w:pPr>
        <w:spacing w:line="240" w:lineRule="auto"/>
        <w:ind w:left="0" w:leftChars="0" w:firstLine="0" w:firstLine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ascii="Times New Roman" w:hAnsi="Times New Roman" w:eastAsia="黑体" w:cs="Times New Roman"/>
          <w:color w:val="auto"/>
          <w:kern w:val="2"/>
          <w:sz w:val="24"/>
          <w:szCs w:val="24"/>
          <w:highlight w:val="none"/>
          <w:lang w:val="en-US" w:eastAsia="zh-CN" w:bidi="ar-SA"/>
        </w:rPr>
        <w:t>20 企业风险</w:t>
      </w:r>
      <w:r>
        <w:rPr>
          <w:rFonts w:hint="default" w:ascii="Times New Roman" w:hAnsi="Times New Roman" w:eastAsia="黑体" w:cs="Times New Roman"/>
          <w:color w:val="auto"/>
          <w:kern w:val="2"/>
          <w:sz w:val="24"/>
          <w:szCs w:val="24"/>
          <w:highlight w:val="none"/>
          <w:lang w:val="en-US" w:eastAsia="zh-CN" w:bidi="ar-SA"/>
        </w:rPr>
        <w:t>物质一览表</w:t>
      </w:r>
    </w:p>
    <w:tbl>
      <w:tblPr>
        <w:tblStyle w:val="12"/>
        <w:tblW w:w="88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75"/>
        <w:gridCol w:w="1262"/>
        <w:gridCol w:w="1261"/>
        <w:gridCol w:w="722"/>
        <w:gridCol w:w="722"/>
        <w:gridCol w:w="1070"/>
        <w:gridCol w:w="1255"/>
        <w:gridCol w:w="1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dxa"/>
            <w:gridSpan w:val="2"/>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危险化学品名称</w:t>
            </w:r>
          </w:p>
        </w:tc>
        <w:tc>
          <w:tcPr>
            <w:tcW w:w="1262"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CAS号</w:t>
            </w:r>
          </w:p>
        </w:tc>
        <w:tc>
          <w:tcPr>
            <w:tcW w:w="1261"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厂区最大储存量（t）</w:t>
            </w:r>
          </w:p>
        </w:tc>
        <w:tc>
          <w:tcPr>
            <w:tcW w:w="722"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临界量（t）</w:t>
            </w:r>
          </w:p>
        </w:tc>
        <w:tc>
          <w:tcPr>
            <w:tcW w:w="722"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形态</w:t>
            </w:r>
          </w:p>
        </w:tc>
        <w:tc>
          <w:tcPr>
            <w:tcW w:w="1070"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最大储存周期</w:t>
            </w:r>
          </w:p>
        </w:tc>
        <w:tc>
          <w:tcPr>
            <w:tcW w:w="1255"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储存方式及规格</w:t>
            </w:r>
          </w:p>
        </w:tc>
        <w:tc>
          <w:tcPr>
            <w:tcW w:w="1229" w:type="dxa"/>
            <w:tcBorders>
              <w:tl2br w:val="nil"/>
              <w:tr2bl w:val="nil"/>
            </w:tcBorders>
            <w:vAlign w:val="center"/>
          </w:tcPr>
          <w:p>
            <w:pPr>
              <w:widowControl w:val="0"/>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风险特征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dxa"/>
            <w:gridSpan w:val="2"/>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天然气（甲烷）</w:t>
            </w:r>
          </w:p>
        </w:tc>
        <w:tc>
          <w:tcPr>
            <w:tcW w:w="126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74-82-8</w:t>
            </w:r>
          </w:p>
        </w:tc>
        <w:tc>
          <w:tcPr>
            <w:tcW w:w="126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72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c>
          <w:tcPr>
            <w:tcW w:w="72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气态</w:t>
            </w:r>
          </w:p>
        </w:tc>
        <w:tc>
          <w:tcPr>
            <w:tcW w:w="1070"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25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管道</w:t>
            </w:r>
          </w:p>
        </w:tc>
        <w:tc>
          <w:tcPr>
            <w:tcW w:w="1229"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易燃易爆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dxa"/>
            <w:vMerge w:val="restart"/>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油类物质</w:t>
            </w:r>
          </w:p>
        </w:tc>
        <w:tc>
          <w:tcPr>
            <w:tcW w:w="87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轧制油</w:t>
            </w:r>
          </w:p>
        </w:tc>
        <w:tc>
          <w:tcPr>
            <w:tcW w:w="126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26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440</w:t>
            </w:r>
          </w:p>
        </w:tc>
        <w:tc>
          <w:tcPr>
            <w:tcW w:w="722" w:type="dxa"/>
            <w:vMerge w:val="restart"/>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2500</w:t>
            </w:r>
          </w:p>
        </w:tc>
        <w:tc>
          <w:tcPr>
            <w:tcW w:w="72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液态</w:t>
            </w:r>
          </w:p>
        </w:tc>
        <w:tc>
          <w:tcPr>
            <w:tcW w:w="1070"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流态，周期按1a</w:t>
            </w:r>
          </w:p>
        </w:tc>
        <w:tc>
          <w:tcPr>
            <w:tcW w:w="125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地下油库</w:t>
            </w:r>
          </w:p>
        </w:tc>
        <w:tc>
          <w:tcPr>
            <w:tcW w:w="1229"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易燃，具有污染性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87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洗油</w:t>
            </w:r>
          </w:p>
        </w:tc>
        <w:tc>
          <w:tcPr>
            <w:tcW w:w="126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26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c>
          <w:tcPr>
            <w:tcW w:w="722"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72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液态</w:t>
            </w:r>
          </w:p>
        </w:tc>
        <w:tc>
          <w:tcPr>
            <w:tcW w:w="1070"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流态，周期按1a</w:t>
            </w:r>
          </w:p>
        </w:tc>
        <w:tc>
          <w:tcPr>
            <w:tcW w:w="125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吸收塔</w:t>
            </w:r>
          </w:p>
        </w:tc>
        <w:tc>
          <w:tcPr>
            <w:tcW w:w="1229"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易燃，具有污染性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87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机油</w:t>
            </w:r>
          </w:p>
        </w:tc>
        <w:tc>
          <w:tcPr>
            <w:tcW w:w="126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26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w:t>
            </w:r>
          </w:p>
        </w:tc>
        <w:tc>
          <w:tcPr>
            <w:tcW w:w="722"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72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液态</w:t>
            </w:r>
          </w:p>
        </w:tc>
        <w:tc>
          <w:tcPr>
            <w:tcW w:w="1070"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30d</w:t>
            </w:r>
          </w:p>
        </w:tc>
        <w:tc>
          <w:tcPr>
            <w:tcW w:w="125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170kg/桶×9桶</w:t>
            </w:r>
          </w:p>
        </w:tc>
        <w:tc>
          <w:tcPr>
            <w:tcW w:w="1229"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易燃，具有污染性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87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柴油</w:t>
            </w:r>
          </w:p>
        </w:tc>
        <w:tc>
          <w:tcPr>
            <w:tcW w:w="126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261"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w:t>
            </w:r>
          </w:p>
        </w:tc>
        <w:tc>
          <w:tcPr>
            <w:tcW w:w="722" w:type="dxa"/>
            <w:vMerge w:val="continue"/>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722"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液态</w:t>
            </w:r>
          </w:p>
        </w:tc>
        <w:tc>
          <w:tcPr>
            <w:tcW w:w="1070"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30d</w:t>
            </w:r>
          </w:p>
        </w:tc>
        <w:tc>
          <w:tcPr>
            <w:tcW w:w="1255"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170kg/桶×14桶</w:t>
            </w:r>
          </w:p>
        </w:tc>
        <w:tc>
          <w:tcPr>
            <w:tcW w:w="1229" w:type="dxa"/>
            <w:tcBorders>
              <w:tl2br w:val="nil"/>
              <w:tr2bl w:val="nil"/>
            </w:tcBorders>
            <w:vAlign w:val="center"/>
          </w:tcPr>
          <w:p>
            <w:pPr>
              <w:widowControl w:val="0"/>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易燃，具有污染性</w:t>
            </w:r>
          </w:p>
        </w:tc>
      </w:tr>
    </w:tbl>
    <w:p>
      <w:pPr>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企业现有风险事故应急防范措施主要包括废水事故防范措施、废水事故防范设施、应急措施</w:t>
      </w:r>
      <w:bookmarkStart w:id="2" w:name="_GoBack"/>
      <w:bookmarkEnd w:id="2"/>
      <w:r>
        <w:rPr>
          <w:rFonts w:hint="eastAsia" w:ascii="Times New Roman" w:hAnsi="Times New Roman" w:eastAsia="宋体" w:cs="Times New Roman"/>
          <w:kern w:val="2"/>
          <w:sz w:val="24"/>
          <w:szCs w:val="24"/>
          <w:lang w:val="en-US" w:eastAsia="zh-CN" w:bidi="ar-SA"/>
        </w:rPr>
        <w:t>等。</w:t>
      </w:r>
    </w:p>
    <w:p>
      <w:pPr>
        <w:numPr>
          <w:ilvl w:val="0"/>
          <w:numId w:val="3"/>
        </w:numPr>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大气环境现有风险防控措施</w:t>
      </w:r>
    </w:p>
    <w:p>
      <w:pPr>
        <w:ind w:firstLine="42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具体措施见企业大气环境现有风险防控措施见下表：</w:t>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表21 企业大气环境现有风险防控措施一览表</w:t>
      </w:r>
    </w:p>
    <w:bookmarkEnd w:id="0"/>
    <w:bookmarkEnd w:id="1"/>
    <w:tbl>
      <w:tblPr>
        <w:tblStyle w:val="12"/>
        <w:tblW w:w="88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981"/>
        <w:gridCol w:w="5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7"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类别</w:t>
            </w:r>
          </w:p>
        </w:tc>
        <w:tc>
          <w:tcPr>
            <w:tcW w:w="1981"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风险单元</w:t>
            </w:r>
          </w:p>
        </w:tc>
        <w:tc>
          <w:tcPr>
            <w:tcW w:w="5722"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风险防控措施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restart"/>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大气环境</w:t>
            </w:r>
          </w:p>
        </w:tc>
        <w:tc>
          <w:tcPr>
            <w:tcW w:w="1981"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管道天然气</w:t>
            </w:r>
          </w:p>
        </w:tc>
        <w:tc>
          <w:tcPr>
            <w:tcW w:w="5722" w:type="dxa"/>
            <w:tcBorders>
              <w:tl2br w:val="nil"/>
              <w:tr2bl w:val="nil"/>
            </w:tcBorders>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①管道天然气减压站设置独立区域；</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②设置有消防栓、干粉灭火器等消防设施；</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③气柜加装有毒性气体泄漏监控预警措施；</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④管道张贴警示牌和安全管理制度，由专人负责。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continue"/>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1981"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轧制油地下库</w:t>
            </w:r>
          </w:p>
        </w:tc>
        <w:tc>
          <w:tcPr>
            <w:tcW w:w="5722" w:type="dxa"/>
            <w:tcBorders>
              <w:tl2br w:val="nil"/>
              <w:tr2bl w:val="nil"/>
            </w:tcBorders>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①每台冷箔轧机单独配有独立轧制油箱，均设置于地下，入口均设置除静电装置；</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②油箱周边设置围堰、导流槽末端设置有1m3收集池；</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③地下库区安装有监控摄像头、监控预警系统；</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④油库四周加装有多个消防喷头，并配备移动式干粉灭火器；</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⑤油库区张贴警示牌和安全管理制度，由专人负责。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continue"/>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1981"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洗油（全油回收装置）</w:t>
            </w:r>
          </w:p>
        </w:tc>
        <w:tc>
          <w:tcPr>
            <w:tcW w:w="5722" w:type="dxa"/>
            <w:tcBorders>
              <w:tl2br w:val="nil"/>
              <w:tr2bl w:val="nil"/>
            </w:tcBorders>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①全油回收装置洗油油箱均设置于全油回收装置密闭间内；</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②密闭间内安装有监控摄像头和监控预警系统；</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③油箱四周加装有多个消防喷头，并配备移动式干粉灭火器等消防设施；</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④区域内张贴警示牌和安全管理制度，由专人负责。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continue"/>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1981"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机油、柴油储存区</w:t>
            </w:r>
          </w:p>
        </w:tc>
        <w:tc>
          <w:tcPr>
            <w:tcW w:w="5722" w:type="dxa"/>
            <w:tcBorders>
              <w:tl2br w:val="nil"/>
              <w:tr2bl w:val="nil"/>
            </w:tcBorders>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①设置独立储存区；</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②并配备移动式干粉灭火器等消防设施；</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③区域内张贴警示牌，由专人负责。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continue"/>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1981" w:type="dxa"/>
            <w:tcBorders>
              <w:tl2br w:val="nil"/>
              <w:tr2bl w:val="nil"/>
            </w:tcBorders>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危险废物暂存间</w:t>
            </w:r>
          </w:p>
        </w:tc>
        <w:tc>
          <w:tcPr>
            <w:tcW w:w="5722" w:type="dxa"/>
            <w:tcBorders>
              <w:tl2br w:val="nil"/>
              <w:tr2bl w:val="nil"/>
            </w:tcBorders>
            <w:vAlign w:val="center"/>
          </w:tcPr>
          <w:p>
            <w:pPr>
              <w:pStyle w:val="18"/>
              <w:widowControl w:val="0"/>
              <w:numPr>
                <w:ilvl w:val="0"/>
                <w:numId w:val="4"/>
              </w:numPr>
              <w:adjustRightInd w:val="0"/>
              <w:snapToGrid w:val="0"/>
              <w:spacing w:line="240" w:lineRule="auto"/>
              <w:ind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4座密闭储存间，设置有独立储存区；</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②暂存间内地面整体和四周墙壁1m做防渗处理；</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③危险废物暂存间设置有消防预警系统；</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④废硅藻土采用编织袋密闭承装，废乳化液采用密闭桶装；</w:t>
            </w:r>
          </w:p>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⑤区域内张贴警示牌，由专人负责。</w:t>
            </w:r>
          </w:p>
        </w:tc>
      </w:tr>
    </w:tbl>
    <w:p>
      <w:pPr>
        <w:numPr>
          <w:ilvl w:val="0"/>
          <w:numId w:val="3"/>
        </w:numPr>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水环境现有风险防控措施</w:t>
      </w:r>
    </w:p>
    <w:p>
      <w:pPr>
        <w:ind w:firstLine="42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企业水环境现有风险防控措施见表21</w:t>
      </w:r>
    </w:p>
    <w:p>
      <w:pPr>
        <w:spacing w:line="240" w:lineRule="auto"/>
        <w:ind w:left="0" w:leftChars="0" w:firstLine="0" w:firstLineChars="0"/>
        <w:jc w:val="center"/>
        <w:rPr>
          <w:rFonts w:hint="eastAsia" w:ascii="Times New Roman" w:hAnsi="Times New Roman" w:eastAsia="黑体" w:cs="Times New Roman"/>
          <w:color w:val="auto"/>
          <w:kern w:val="2"/>
          <w:sz w:val="24"/>
          <w:szCs w:val="24"/>
          <w:highlight w:val="none"/>
          <w:lang w:val="en-US" w:eastAsia="zh-CN" w:bidi="ar-SA"/>
        </w:rPr>
      </w:pPr>
      <w:r>
        <w:rPr>
          <w:rFonts w:hint="eastAsia" w:ascii="Times New Roman" w:hAnsi="Times New Roman" w:eastAsia="黑体" w:cs="Times New Roman"/>
          <w:color w:val="auto"/>
          <w:kern w:val="2"/>
          <w:sz w:val="24"/>
          <w:szCs w:val="24"/>
          <w:highlight w:val="none"/>
          <w:lang w:val="en-US" w:eastAsia="zh-CN" w:bidi="ar-SA"/>
        </w:rPr>
        <w:t>表22 企业水环境现有风险防控措施一览表</w:t>
      </w:r>
    </w:p>
    <w:tbl>
      <w:tblPr>
        <w:tblStyle w:val="1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64"/>
        <w:gridCol w:w="6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88"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类别</w:t>
            </w:r>
          </w:p>
        </w:tc>
        <w:tc>
          <w:tcPr>
            <w:tcW w:w="3511"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环境风险防控措施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488"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清净下水系统防控措施</w:t>
            </w:r>
          </w:p>
        </w:tc>
        <w:tc>
          <w:tcPr>
            <w:tcW w:w="3511"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纯水制备产生的RO浓水和开式循环冷却系统定期排污水直接排放，废水排放口安装有在线监控设备，实时全过程对排放废水达标情况进行在线监控，防止废水超标排放。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88"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雨排水系统防控措施</w:t>
            </w:r>
          </w:p>
        </w:tc>
        <w:tc>
          <w:tcPr>
            <w:tcW w:w="3511"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雨污分流，厂区雨水总排口设监视设施，专人负责紧急情况下关闭雨水排口。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88"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生活污水处理系统防控措施</w:t>
            </w:r>
          </w:p>
        </w:tc>
        <w:tc>
          <w:tcPr>
            <w:tcW w:w="3511"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生活污水处理达标后外排，废水排放口安装有在线监控设备，实时全过程对排放废水达标情况进行在线监控，防止废水超标排放。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88"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废水排放去向</w:t>
            </w:r>
          </w:p>
        </w:tc>
        <w:tc>
          <w:tcPr>
            <w:tcW w:w="3511"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废水排入区域污水管网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488"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厂内危险废物环境管理</w:t>
            </w:r>
          </w:p>
        </w:tc>
        <w:tc>
          <w:tcPr>
            <w:tcW w:w="3511" w:type="pct"/>
            <w:tcBorders>
              <w:tl2br w:val="nil"/>
              <w:tr2bl w:val="nil"/>
            </w:tcBorders>
            <w:shd w:val="clear" w:color="auto" w:fill="auto"/>
            <w:vAlign w:val="center"/>
          </w:tcPr>
          <w:p>
            <w:pPr>
              <w:pStyle w:val="18"/>
              <w:widowControl w:val="0"/>
              <w:adjustRightInd w:val="0"/>
              <w:snapToGrid w:val="0"/>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厂区设有危废暂存间，危险废物在暂存间内分区分类暂存，然后由有资质的单位拉走处理。</w:t>
            </w:r>
          </w:p>
        </w:tc>
      </w:tr>
    </w:tbl>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3、生产过程防范措施</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各种工艺设备（阀门、法兰、泵类等）、管的选型严把质量关，并加强检修、维护，严禁生产中出现物料跑、冒、滴、漏，电气设备须选用防腐、防爆型，电源绝缘良好，防止产生电火花，接地牢靠，防止产生静电。</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（2）建立和完善各级安全生产责任制，并切实落到实处。公司各级领导和生产管理人员必须重视安全生产，积极推广科学安全管理方法，强化安全操作制度和劳动纪律。</w:t>
      </w:r>
    </w:p>
    <w:p>
      <w:pPr>
        <w:widowControl w:val="0"/>
        <w:ind w:firstLine="482"/>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加强员工职业培训和安全教育。培养员工要有高度的安全生产责任心，并且要熟悉相应的业务，有熟练的操作技能，具备有关物料、设备、设施、工艺参数变动及泄漏等的危险、危害知识，在紧急情况下能采取正确的应急方法。</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（4）加强设备管理，工作人员应培训上岗，并经常检查，防止跑冒滴漏发生。加强容器维护、检测，对破损的容器及时更换，确保设备完好，以防物料泄漏；工作现场禁止吸烟、进食。</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（5）储罐区等危险场所按“建筑灭火器配置设计规范”配置手提式干粉灭火器和推车式干粉灭火器。</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（6）加强对电工及电气设备的管理，并对员工进行各种电气事故案例的教育，不乱拉临时线、防止各类电气事故的发生。</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（7）建立健全安全检查制度，定期进行安全检查，及时整改安全隐患，防止事故发生。</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（8）废气处理设施定期检查，发现破损及时更换。</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（9）选用密闭性能好的阀门，保证可拆连接部位的密封性能。</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4、异常天气防范措施</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（1）及时收听天气预报，了解当地的未来天气状况、雨雪情况。</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（2）雨季要安排专职人员值班，观测山体变化情况，并做好记录，做到预警在前，及时通报，以便迅速做出应急反应。</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（3）值班人员定期巡视，排水设施要完好并作好记录，排水能力要满足汛期要求，及时消除排水系统缺陷；</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加强危险化学品的监控能力，严防危险化学品泄漏造成环境污染及人身伤害。对储罐区进行定期巡视，发现异常情况，立即汇报，应急工作组及时进入现场，设立隔离区，做好安全防护，监测有害物质，并组织进行抢险救灾；</w:t>
      </w:r>
    </w:p>
    <w:p>
      <w:pPr>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（5）暴雨期间，场内积水短时间排不掉，应急工作组立即采取措施，保证主要部位不受雨水影响。通讯和电力保障组应立即抽出人员进入现场，加强检查，做好防止触电的安全措施，确保设备正常运行；</w:t>
      </w:r>
    </w:p>
    <w:p>
      <w:pPr>
        <w:widowControl w:val="0"/>
        <w:ind w:firstLine="482"/>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（6）异常天气期间，室外禁止除应急处理之外的一切工作，检查建筑渗漏水状况，并及时安排处理。配备足够防洪、防汛、防雷击、暴风雪抗灾的人力、物力、财力；</w:t>
      </w:r>
    </w:p>
    <w:p>
      <w:pPr>
        <w:bidi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（7）异常高温、低温天气做好防暑、防寒措施。加大关键部位的巡检，对主要管道、阀门做好降温、防冻措施。</w:t>
      </w:r>
    </w:p>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长城小标宋体">
    <w:altName w:val="宋体"/>
    <w:panose1 w:val="02010609010101010101"/>
    <w:charset w:val="00"/>
    <w:family w:val="moder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EAFAF4"/>
    <w:multiLevelType w:val="singleLevel"/>
    <w:tmpl w:val="A3EAFAF4"/>
    <w:lvl w:ilvl="0" w:tentative="0">
      <w:start w:val="1"/>
      <w:numFmt w:val="decimal"/>
      <w:suff w:val="nothing"/>
      <w:lvlText w:val="%1、"/>
      <w:lvlJc w:val="left"/>
    </w:lvl>
  </w:abstractNum>
  <w:abstractNum w:abstractNumId="1">
    <w:nsid w:val="364C340A"/>
    <w:multiLevelType w:val="multilevel"/>
    <w:tmpl w:val="364C340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D58CE29"/>
    <w:multiLevelType w:val="singleLevel"/>
    <w:tmpl w:val="4D58CE29"/>
    <w:lvl w:ilvl="0" w:tentative="0">
      <w:start w:val="1"/>
      <w:numFmt w:val="decimal"/>
      <w:suff w:val="nothing"/>
      <w:lvlText w:val="%1、"/>
      <w:lvlJc w:val="left"/>
    </w:lvl>
  </w:abstractNum>
  <w:abstractNum w:abstractNumId="3">
    <w:nsid w:val="67BB3979"/>
    <w:multiLevelType w:val="multilevel"/>
    <w:tmpl w:val="67BB3979"/>
    <w:lvl w:ilvl="0" w:tentative="0">
      <w:start w:val="1"/>
      <w:numFmt w:val="decimal"/>
      <w:isLgl/>
      <w:lvlText w:val="%1"/>
      <w:lvlJc w:val="left"/>
      <w:pPr>
        <w:ind w:left="113" w:hanging="113"/>
      </w:pPr>
      <w:rPr>
        <w:rFonts w:hint="default" w:ascii="Times New Roman" w:hAnsi="Times New Roman" w:eastAsia="黑体"/>
        <w:sz w:val="32"/>
      </w:rPr>
    </w:lvl>
    <w:lvl w:ilvl="1" w:tentative="0">
      <w:start w:val="1"/>
      <w:numFmt w:val="decimal"/>
      <w:pStyle w:val="3"/>
      <w:isLgl/>
      <w:lvlText w:val="%1.%2"/>
      <w:lvlJc w:val="left"/>
      <w:pPr>
        <w:ind w:left="113" w:hanging="113"/>
      </w:pPr>
      <w:rPr>
        <w:rFonts w:hint="default" w:ascii="Times New Roman" w:hAnsi="Times New Roman" w:eastAsia="黑体"/>
        <w:sz w:val="30"/>
      </w:rPr>
    </w:lvl>
    <w:lvl w:ilvl="2" w:tentative="0">
      <w:start w:val="1"/>
      <w:numFmt w:val="decimal"/>
      <w:isLgl/>
      <w:lvlText w:val="%1.%2.%3"/>
      <w:lvlJc w:val="left"/>
      <w:pPr>
        <w:ind w:left="680" w:hanging="113"/>
      </w:pPr>
      <w:rPr>
        <w:rFonts w:hint="default" w:ascii="Times New Roman" w:hAnsi="Times New Roman" w:eastAsia="黑体"/>
        <w:sz w:val="28"/>
      </w:rPr>
    </w:lvl>
    <w:lvl w:ilvl="3" w:tentative="0">
      <w:start w:val="1"/>
      <w:numFmt w:val="decimal"/>
      <w:isLgl/>
      <w:lvlText w:val="%1.%2.%3.%4"/>
      <w:lvlJc w:val="left"/>
      <w:pPr>
        <w:ind w:left="113" w:hanging="113"/>
      </w:pPr>
      <w:rPr>
        <w:rFonts w:hint="default" w:ascii="Times New Roman" w:hAnsi="Times New Roman"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kNjk2MjI4ZWY5YTdhOTMyZGNjMjQ5Y2ZhYzY2MTUifQ=="/>
  </w:docVars>
  <w:rsids>
    <w:rsidRoot w:val="2DA6705F"/>
    <w:rsid w:val="01107F7E"/>
    <w:rsid w:val="02FF5E45"/>
    <w:rsid w:val="04C82992"/>
    <w:rsid w:val="05E51AFC"/>
    <w:rsid w:val="06FA68DC"/>
    <w:rsid w:val="09175C96"/>
    <w:rsid w:val="09ED4C49"/>
    <w:rsid w:val="0D7A4A46"/>
    <w:rsid w:val="0DDB2C34"/>
    <w:rsid w:val="10455351"/>
    <w:rsid w:val="1090632E"/>
    <w:rsid w:val="13372F7E"/>
    <w:rsid w:val="14A9290B"/>
    <w:rsid w:val="150C0679"/>
    <w:rsid w:val="182838D7"/>
    <w:rsid w:val="1C784846"/>
    <w:rsid w:val="1DE55F0B"/>
    <w:rsid w:val="1E8C282B"/>
    <w:rsid w:val="1FC3227C"/>
    <w:rsid w:val="200F0E62"/>
    <w:rsid w:val="2173113F"/>
    <w:rsid w:val="219537A4"/>
    <w:rsid w:val="28072F22"/>
    <w:rsid w:val="286C4374"/>
    <w:rsid w:val="2A9350B1"/>
    <w:rsid w:val="2AB64A59"/>
    <w:rsid w:val="2D79041E"/>
    <w:rsid w:val="2DA6705F"/>
    <w:rsid w:val="2E8B21B7"/>
    <w:rsid w:val="2EAD65D1"/>
    <w:rsid w:val="2F454A5C"/>
    <w:rsid w:val="327F2033"/>
    <w:rsid w:val="33154745"/>
    <w:rsid w:val="33FD326C"/>
    <w:rsid w:val="36A6245C"/>
    <w:rsid w:val="379D0FEF"/>
    <w:rsid w:val="388F3E65"/>
    <w:rsid w:val="3B671C65"/>
    <w:rsid w:val="3C77021F"/>
    <w:rsid w:val="3D404AB5"/>
    <w:rsid w:val="3D85696B"/>
    <w:rsid w:val="3E560C3D"/>
    <w:rsid w:val="3EFC2C5D"/>
    <w:rsid w:val="4004001B"/>
    <w:rsid w:val="40955117"/>
    <w:rsid w:val="4224068F"/>
    <w:rsid w:val="46961508"/>
    <w:rsid w:val="46CE3131"/>
    <w:rsid w:val="489B5402"/>
    <w:rsid w:val="48BD520B"/>
    <w:rsid w:val="48DD58AD"/>
    <w:rsid w:val="4A6A6A42"/>
    <w:rsid w:val="4B415D19"/>
    <w:rsid w:val="4B75001F"/>
    <w:rsid w:val="4C455C43"/>
    <w:rsid w:val="4C9D782D"/>
    <w:rsid w:val="4D07114B"/>
    <w:rsid w:val="4D7A3A13"/>
    <w:rsid w:val="4DF80DF0"/>
    <w:rsid w:val="5076286F"/>
    <w:rsid w:val="516031A5"/>
    <w:rsid w:val="519B00B4"/>
    <w:rsid w:val="540566CF"/>
    <w:rsid w:val="54786406"/>
    <w:rsid w:val="549E2395"/>
    <w:rsid w:val="56074E8F"/>
    <w:rsid w:val="56F97D56"/>
    <w:rsid w:val="596C2A61"/>
    <w:rsid w:val="598A299B"/>
    <w:rsid w:val="5AF727FF"/>
    <w:rsid w:val="5B6C79BF"/>
    <w:rsid w:val="5BD62F67"/>
    <w:rsid w:val="5BFE196B"/>
    <w:rsid w:val="5D177188"/>
    <w:rsid w:val="5E007C1C"/>
    <w:rsid w:val="5EA94982"/>
    <w:rsid w:val="60EA6962"/>
    <w:rsid w:val="61F23D20"/>
    <w:rsid w:val="62031A89"/>
    <w:rsid w:val="627666FF"/>
    <w:rsid w:val="67304E03"/>
    <w:rsid w:val="68632E35"/>
    <w:rsid w:val="6864524C"/>
    <w:rsid w:val="698F62F8"/>
    <w:rsid w:val="6B6D4417"/>
    <w:rsid w:val="6C1D5E3D"/>
    <w:rsid w:val="6D8223FC"/>
    <w:rsid w:val="6DEA02C4"/>
    <w:rsid w:val="701A2DBF"/>
    <w:rsid w:val="718D136F"/>
    <w:rsid w:val="71F318C6"/>
    <w:rsid w:val="72162D6E"/>
    <w:rsid w:val="73F676A0"/>
    <w:rsid w:val="758A3422"/>
    <w:rsid w:val="76F27B63"/>
    <w:rsid w:val="7956298E"/>
    <w:rsid w:val="7A2A2439"/>
    <w:rsid w:val="7AF54742"/>
    <w:rsid w:val="7CBB6A89"/>
    <w:rsid w:val="7CE60A0C"/>
    <w:rsid w:val="7E502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ind w:firstLine="0" w:firstLineChars="0"/>
      <w:jc w:val="center"/>
      <w:outlineLvl w:val="0"/>
    </w:pPr>
    <w:rPr>
      <w:rFonts w:eastAsia="黑体"/>
      <w:kern w:val="44"/>
      <w:sz w:val="32"/>
    </w:rPr>
  </w:style>
  <w:style w:type="paragraph" w:styleId="3">
    <w:name w:val="heading 2"/>
    <w:basedOn w:val="1"/>
    <w:next w:val="1"/>
    <w:autoRedefine/>
    <w:unhideWhenUsed/>
    <w:qFormat/>
    <w:uiPriority w:val="9"/>
    <w:pPr>
      <w:keepNext/>
      <w:keepLines/>
      <w:numPr>
        <w:ilvl w:val="1"/>
        <w:numId w:val="1"/>
      </w:numPr>
      <w:spacing w:line="600" w:lineRule="exact"/>
      <w:ind w:left="0" w:firstLine="0" w:firstLineChars="0"/>
      <w:outlineLvl w:val="1"/>
    </w:pPr>
    <w:rPr>
      <w:rFonts w:cstheme="majorBidi"/>
      <w:bCs/>
      <w:sz w:val="30"/>
      <w:szCs w:val="32"/>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4">
    <w:name w:val="caption"/>
    <w:basedOn w:val="1"/>
    <w:next w:val="1"/>
    <w:autoRedefine/>
    <w:unhideWhenUsed/>
    <w:qFormat/>
    <w:uiPriority w:val="35"/>
    <w:pPr>
      <w:spacing w:line="360" w:lineRule="auto"/>
      <w:jc w:val="center"/>
    </w:pPr>
    <w:rPr>
      <w:rFonts w:eastAsia="黑体" w:cstheme="majorBidi"/>
      <w:szCs w:val="20"/>
    </w:rPr>
  </w:style>
  <w:style w:type="paragraph" w:styleId="5">
    <w:name w:val="Body Text"/>
    <w:basedOn w:val="1"/>
    <w:next w:val="6"/>
    <w:autoRedefine/>
    <w:qFormat/>
    <w:uiPriority w:val="0"/>
  </w:style>
  <w:style w:type="paragraph" w:styleId="6">
    <w:name w:val="Title"/>
    <w:basedOn w:val="1"/>
    <w:next w:val="1"/>
    <w:autoRedefine/>
    <w:qFormat/>
    <w:uiPriority w:val="0"/>
    <w:pPr>
      <w:spacing w:line="600" w:lineRule="exact"/>
    </w:pPr>
    <w:rPr>
      <w:rFonts w:ascii="长城小标宋体" w:hAnsi="Times New Roman" w:eastAsia="长城小标宋体" w:cs="Times New Roman"/>
      <w:b/>
      <w:sz w:val="42"/>
      <w:szCs w:val="42"/>
      <w:lang w:val="en-US" w:eastAsia="zh-CN" w:bidi="ar-SA"/>
    </w:rPr>
  </w:style>
  <w:style w:type="paragraph" w:styleId="7">
    <w:name w:val="Block Text"/>
    <w:basedOn w:val="1"/>
    <w:next w:val="1"/>
    <w:autoRedefine/>
    <w:qFormat/>
    <w:uiPriority w:val="0"/>
    <w:pPr>
      <w:ind w:firstLine="510"/>
    </w:pPr>
    <w:rPr>
      <w:szCs w:val="20"/>
    </w:rPr>
  </w:style>
  <w:style w:type="paragraph" w:styleId="8">
    <w:name w:val="Plain Text"/>
    <w:basedOn w:val="1"/>
    <w:autoRedefine/>
    <w:qFormat/>
    <w:uiPriority w:val="0"/>
    <w:rPr>
      <w:rFonts w:ascii="宋体" w:hAnsi="Courier New" w:eastAsia="宋体" w:cs="Courier New"/>
      <w:szCs w:val="21"/>
    </w:rPr>
  </w:style>
  <w:style w:type="paragraph" w:styleId="9">
    <w:name w:val="header"/>
    <w:basedOn w:val="1"/>
    <w:next w:val="1"/>
    <w:autoRedefine/>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0">
    <w:name w:val="Body Text 2"/>
    <w:basedOn w:val="1"/>
    <w:next w:val="5"/>
    <w:autoRedefine/>
    <w:qFormat/>
    <w:uiPriority w:val="0"/>
    <w:rPr>
      <w:rFonts w:hint="eastAsia" w:ascii="宋体" w:hAnsi="宋体"/>
    </w:rPr>
  </w:style>
  <w:style w:type="paragraph" w:styleId="11">
    <w:name w:val="Body Text First Indent 2"/>
    <w:basedOn w:val="1"/>
    <w:next w:val="1"/>
    <w:autoRedefine/>
    <w:qFormat/>
    <w:uiPriority w:val="0"/>
    <w:pPr>
      <w:spacing w:after="120"/>
      <w:ind w:left="420" w:leftChars="200" w:firstLine="420"/>
    </w:pPr>
    <w:rPr>
      <w:rFonts w:ascii="Times New Roman" w:hAnsi="Times New Roman" w:eastAsia="宋体"/>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审核报告正文"/>
    <w:basedOn w:val="8"/>
    <w:autoRedefine/>
    <w:qFormat/>
    <w:uiPriority w:val="0"/>
    <w:pPr>
      <w:spacing w:line="360" w:lineRule="auto"/>
      <w:ind w:firstLine="560" w:firstLineChars="200"/>
    </w:pPr>
    <w:rPr>
      <w:rFonts w:hAnsi="宋体"/>
      <w:color w:val="000000"/>
      <w:kern w:val="0"/>
      <w:sz w:val="28"/>
      <w:szCs w:val="28"/>
    </w:rPr>
  </w:style>
  <w:style w:type="paragraph" w:customStyle="1" w:styleId="16">
    <w:name w:val="B-缩进"/>
    <w:basedOn w:val="1"/>
    <w:autoRedefine/>
    <w:qFormat/>
    <w:uiPriority w:val="0"/>
    <w:pPr>
      <w:spacing w:after="60"/>
      <w:ind w:firstLine="200"/>
    </w:pPr>
  </w:style>
  <w:style w:type="paragraph" w:customStyle="1" w:styleId="17">
    <w:name w:val="表头格式"/>
    <w:basedOn w:val="1"/>
    <w:autoRedefine/>
    <w:qFormat/>
    <w:uiPriority w:val="0"/>
    <w:pPr>
      <w:adjustRightInd w:val="0"/>
      <w:snapToGrid w:val="0"/>
      <w:spacing w:line="360" w:lineRule="auto"/>
      <w:jc w:val="center"/>
    </w:pPr>
    <w:rPr>
      <w:rFonts w:eastAsia="黑体"/>
      <w:snapToGrid w:val="0"/>
      <w:kern w:val="0"/>
    </w:rPr>
  </w:style>
  <w:style w:type="paragraph" w:customStyle="1" w:styleId="18">
    <w:name w:val="列出段落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5224</Words>
  <Characters>6350</Characters>
  <Lines>0</Lines>
  <Paragraphs>0</Paragraphs>
  <TotalTime>3</TotalTime>
  <ScaleCrop>false</ScaleCrop>
  <LinksUpToDate>false</LinksUpToDate>
  <CharactersWithSpaces>6393</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2021-12-03T05:54:00Z</dcterms:created>
  <dc:creator>Administrator</dc:creator>
  <cp:lastModifiedBy>Administrator</cp:lastModifiedBy>
  <dcterms:modified xsi:type="dcterms:W3CDTF">2024-03-22T08:51:03Z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BA2C67C15AB9410793E10BE8B5D7632B_13</vt:lpwstr>
  </property>
</Properties>
</file>